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BA4C3" w14:textId="77777777" w:rsidR="00D13E82" w:rsidRDefault="0095082E" w:rsidP="00D13E82">
      <w:pPr>
        <w:rPr>
          <w:rFonts w:ascii="Arial" w:hAnsi="Arial" w:cs="Arial"/>
          <w:b/>
          <w:bCs/>
          <w:sz w:val="24"/>
          <w:szCs w:val="24"/>
          <w:lang w:val="en-US"/>
        </w:rPr>
      </w:pPr>
      <w:r>
        <w:rPr>
          <w:rFonts w:ascii="Arial" w:hAnsi="Arial" w:cs="Arial"/>
          <w:b/>
          <w:bCs/>
          <w:sz w:val="24"/>
          <w:szCs w:val="24"/>
          <w:lang w:val="en-US"/>
        </w:rPr>
        <w:t xml:space="preserve">Shared Services Monitoring Report- December 2021 </w:t>
      </w:r>
    </w:p>
    <w:p w14:paraId="55DBA4C4" w14:textId="77777777" w:rsidR="002E6CAA" w:rsidRPr="00D962F3" w:rsidRDefault="0095082E" w:rsidP="002E6CAA">
      <w:pPr>
        <w:rPr>
          <w:rFonts w:ascii="Arial" w:hAnsi="Arial" w:cs="Arial"/>
          <w:b/>
          <w:bCs/>
          <w:lang w:val="en-US"/>
        </w:rPr>
      </w:pPr>
      <w:r w:rsidRPr="00D962F3">
        <w:rPr>
          <w:rFonts w:ascii="Arial" w:hAnsi="Arial" w:cs="Arial"/>
          <w:b/>
          <w:bCs/>
          <w:lang w:val="en-US"/>
        </w:rPr>
        <w:t xml:space="preserve">Savings and budgets </w:t>
      </w:r>
    </w:p>
    <w:p w14:paraId="55DBA4C5" w14:textId="77777777" w:rsidR="002E6CAA" w:rsidRPr="002E6CAA" w:rsidRDefault="0095082E" w:rsidP="002E6CAA">
      <w:pPr>
        <w:pStyle w:val="ListParagraph"/>
        <w:numPr>
          <w:ilvl w:val="0"/>
          <w:numId w:val="21"/>
        </w:numPr>
        <w:jc w:val="both"/>
        <w:rPr>
          <w:rFonts w:ascii="Arial" w:hAnsi="Arial" w:cs="Arial"/>
          <w:lang w:val="en-US"/>
        </w:rPr>
      </w:pPr>
      <w:r w:rsidRPr="002E6CAA">
        <w:rPr>
          <w:rFonts w:ascii="Arial" w:hAnsi="Arial" w:cs="Arial"/>
          <w:lang w:val="en-US"/>
        </w:rPr>
        <w:t xml:space="preserve">The following table shows the cost savings that have been made through reduced staffing budgets </w:t>
      </w:r>
      <w:r>
        <w:rPr>
          <w:rFonts w:ascii="Arial" w:hAnsi="Arial" w:cs="Arial"/>
          <w:lang w:val="en-US"/>
        </w:rPr>
        <w:t xml:space="preserve">including </w:t>
      </w:r>
      <w:r w:rsidRPr="002E6CAA">
        <w:rPr>
          <w:rFonts w:ascii="Arial" w:hAnsi="Arial" w:cs="Arial"/>
          <w:lang w:val="en-US"/>
        </w:rPr>
        <w:t xml:space="preserve">shared posts and the shared services reviews. Staffing savings have been made </w:t>
      </w:r>
      <w:r>
        <w:rPr>
          <w:rFonts w:ascii="Arial" w:hAnsi="Arial" w:cs="Arial"/>
          <w:lang w:val="en-US"/>
        </w:rPr>
        <w:t xml:space="preserve">by realigning resources to meet service priorities, capacity and demand. </w:t>
      </w:r>
    </w:p>
    <w:p w14:paraId="55DBA4C6" w14:textId="77777777" w:rsidR="002E6CAA" w:rsidRPr="00D962F3" w:rsidRDefault="00425003" w:rsidP="002E6CAA">
      <w:pPr>
        <w:pStyle w:val="ListParagraph"/>
        <w:jc w:val="both"/>
        <w:rPr>
          <w:rFonts w:ascii="Arial" w:hAnsi="Arial" w:cs="Arial"/>
          <w:highlight w:val="yellow"/>
          <w:lang w:val="en-US"/>
        </w:rPr>
      </w:pPr>
    </w:p>
    <w:p w14:paraId="55DBA4C7" w14:textId="68A513F0" w:rsidR="002E6CAA" w:rsidRPr="00D962F3" w:rsidRDefault="0095082E" w:rsidP="002E6CAA">
      <w:pPr>
        <w:jc w:val="center"/>
        <w:rPr>
          <w:rFonts w:ascii="Arial" w:hAnsi="Arial" w:cs="Arial"/>
          <w:highlight w:val="yellow"/>
          <w:lang w:val="en-US"/>
        </w:rPr>
      </w:pPr>
      <w:r w:rsidRPr="00151D60">
        <w:rPr>
          <w:noProof/>
        </w:rPr>
        <w:drawing>
          <wp:inline distT="0" distB="0" distL="0" distR="0" wp14:anchorId="55DBA62E" wp14:editId="55DBA62F">
            <wp:extent cx="443865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219838"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438650" cy="4143375"/>
                    </a:xfrm>
                    <a:prstGeom prst="rect">
                      <a:avLst/>
                    </a:prstGeom>
                    <a:noFill/>
                    <a:ln>
                      <a:noFill/>
                    </a:ln>
                  </pic:spPr>
                </pic:pic>
              </a:graphicData>
            </a:graphic>
          </wp:inline>
        </w:drawing>
      </w:r>
    </w:p>
    <w:p w14:paraId="55DBA4C8" w14:textId="77777777" w:rsidR="002E6CAA" w:rsidRPr="002E6CAA" w:rsidRDefault="0095082E" w:rsidP="002E6CAA">
      <w:pPr>
        <w:pStyle w:val="ListParagraph"/>
        <w:numPr>
          <w:ilvl w:val="0"/>
          <w:numId w:val="21"/>
        </w:numPr>
        <w:jc w:val="both"/>
        <w:rPr>
          <w:rFonts w:ascii="Arial" w:hAnsi="Arial" w:cs="Arial"/>
          <w:lang w:val="en-US"/>
        </w:rPr>
      </w:pPr>
      <w:r w:rsidRPr="002E6CAA">
        <w:rPr>
          <w:rFonts w:ascii="Arial" w:hAnsi="Arial" w:cs="Arial"/>
          <w:lang w:val="en-US"/>
        </w:rPr>
        <w:t>The phase 1 savings relate to the initial senior roles including the Shared Deputy Chief Executive and Shared Service Lea</w:t>
      </w:r>
      <w:r>
        <w:rPr>
          <w:rFonts w:ascii="Arial" w:hAnsi="Arial" w:cs="Arial"/>
          <w:lang w:val="en-US"/>
        </w:rPr>
        <w:t>ds</w:t>
      </w:r>
      <w:r w:rsidRPr="002E6CAA">
        <w:rPr>
          <w:rFonts w:ascii="Arial" w:hAnsi="Arial" w:cs="Arial"/>
          <w:lang w:val="en-US"/>
        </w:rPr>
        <w:t xml:space="preserve">, alongside the service reviews for Governance, Transformation and Partnerships, and Communications and Visitor Economy. </w:t>
      </w:r>
      <w:r>
        <w:rPr>
          <w:rFonts w:ascii="Arial" w:hAnsi="Arial" w:cs="Arial"/>
          <w:lang w:val="en-US"/>
        </w:rPr>
        <w:t>Some f</w:t>
      </w:r>
      <w:r w:rsidRPr="002E6CAA">
        <w:rPr>
          <w:rFonts w:ascii="Arial" w:hAnsi="Arial" w:cs="Arial"/>
          <w:lang w:val="en-US"/>
        </w:rPr>
        <w:t xml:space="preserve">urther staffing savings are expected to be achieved for these services </w:t>
      </w:r>
      <w:r>
        <w:rPr>
          <w:rFonts w:ascii="Arial" w:hAnsi="Arial" w:cs="Arial"/>
          <w:lang w:val="en-US"/>
        </w:rPr>
        <w:t>through delivery of the service development plans to achieve a single operating model.</w:t>
      </w:r>
      <w:r w:rsidRPr="002E6CAA">
        <w:rPr>
          <w:rFonts w:ascii="Arial" w:hAnsi="Arial" w:cs="Arial"/>
          <w:lang w:val="en-US"/>
        </w:rPr>
        <w:t xml:space="preserve"> </w:t>
      </w:r>
    </w:p>
    <w:p w14:paraId="55DBA4C9" w14:textId="77777777" w:rsidR="002E6CAA" w:rsidRPr="001F6D61" w:rsidRDefault="00425003" w:rsidP="002E6CAA">
      <w:pPr>
        <w:pStyle w:val="ListParagraph"/>
        <w:jc w:val="both"/>
        <w:rPr>
          <w:rFonts w:ascii="Arial" w:hAnsi="Arial" w:cs="Arial"/>
          <w:lang w:val="en-US"/>
        </w:rPr>
      </w:pPr>
    </w:p>
    <w:p w14:paraId="55DBA4CA" w14:textId="77777777" w:rsidR="002E6CAA" w:rsidRDefault="0095082E" w:rsidP="009E4112">
      <w:pPr>
        <w:pStyle w:val="ListParagraph"/>
        <w:numPr>
          <w:ilvl w:val="0"/>
          <w:numId w:val="21"/>
        </w:numPr>
        <w:spacing w:after="0"/>
        <w:jc w:val="both"/>
        <w:rPr>
          <w:rFonts w:ascii="Arial" w:hAnsi="Arial" w:cs="Arial"/>
          <w:lang w:val="en-US"/>
        </w:rPr>
      </w:pPr>
      <w:r w:rsidRPr="001F6D61">
        <w:rPr>
          <w:rFonts w:ascii="Arial" w:hAnsi="Arial" w:cs="Arial"/>
          <w:lang w:val="en-US"/>
        </w:rPr>
        <w:t>Staffing costs have increased in some areas to allow for additional capacity, ensuring resilience and a sustainable model for the services. There has also been the opportunity to increase the services provided across the councils</w:t>
      </w:r>
      <w:r>
        <w:rPr>
          <w:rFonts w:ascii="Arial" w:hAnsi="Arial" w:cs="Arial"/>
          <w:lang w:val="en-US"/>
        </w:rPr>
        <w:t xml:space="preserve">, </w:t>
      </w:r>
      <w:r w:rsidRPr="001F6D61">
        <w:rPr>
          <w:rFonts w:ascii="Arial" w:hAnsi="Arial" w:cs="Arial"/>
          <w:lang w:val="en-US"/>
        </w:rPr>
        <w:t xml:space="preserve">such as enabling </w:t>
      </w:r>
      <w:r w:rsidRPr="005A5EEE">
        <w:rPr>
          <w:rFonts w:ascii="Arial" w:hAnsi="Arial" w:cs="Arial"/>
          <w:lang w:val="en-US"/>
        </w:rPr>
        <w:t>services to be delivered in house</w:t>
      </w:r>
      <w:r>
        <w:rPr>
          <w:rFonts w:ascii="Arial" w:hAnsi="Arial" w:cs="Arial"/>
          <w:lang w:val="en-US"/>
        </w:rPr>
        <w:t xml:space="preserve"> or expanding the functions that are offered in areas such as events and museums, tourism and culture</w:t>
      </w:r>
    </w:p>
    <w:p w14:paraId="55DBA4CB" w14:textId="77777777" w:rsidR="009E4112" w:rsidRPr="009E4112" w:rsidRDefault="00425003" w:rsidP="009E4112">
      <w:pPr>
        <w:spacing w:after="0"/>
        <w:jc w:val="both"/>
        <w:rPr>
          <w:rFonts w:ascii="Arial" w:hAnsi="Arial" w:cs="Arial"/>
          <w:lang w:val="en-US"/>
        </w:rPr>
      </w:pPr>
    </w:p>
    <w:p w14:paraId="55DBA4CC" w14:textId="193F1638" w:rsidR="002E6CAA" w:rsidRDefault="0095082E" w:rsidP="009E4112">
      <w:pPr>
        <w:pStyle w:val="ListParagraph"/>
        <w:numPr>
          <w:ilvl w:val="0"/>
          <w:numId w:val="21"/>
        </w:numPr>
        <w:spacing w:after="0"/>
        <w:jc w:val="both"/>
        <w:rPr>
          <w:rFonts w:ascii="Arial" w:hAnsi="Arial" w:cs="Arial"/>
          <w:lang w:val="en-US"/>
        </w:rPr>
      </w:pPr>
      <w:r w:rsidRPr="005A5EEE">
        <w:rPr>
          <w:rFonts w:ascii="Arial" w:hAnsi="Arial" w:cs="Arial"/>
          <w:lang w:val="en-US"/>
        </w:rPr>
        <w:t xml:space="preserve">In phase 2 of shared services, the Chief Executive and shared Director posts have been developed at a saving to both councils. </w:t>
      </w:r>
      <w:r>
        <w:rPr>
          <w:rFonts w:ascii="Arial" w:hAnsi="Arial" w:cs="Arial"/>
          <w:lang w:val="en-US"/>
        </w:rPr>
        <w:t>Both phases</w:t>
      </w:r>
      <w:r w:rsidRPr="005A5EEE">
        <w:rPr>
          <w:rFonts w:ascii="Arial" w:hAnsi="Arial" w:cs="Arial"/>
          <w:lang w:val="en-US"/>
        </w:rPr>
        <w:t xml:space="preserve"> of the ICT review </w:t>
      </w:r>
      <w:r>
        <w:rPr>
          <w:rFonts w:ascii="Arial" w:hAnsi="Arial" w:cs="Arial"/>
          <w:lang w:val="en-US"/>
        </w:rPr>
        <w:t xml:space="preserve">(management and rest of service) have also </w:t>
      </w:r>
      <w:r w:rsidRPr="005A5EEE">
        <w:rPr>
          <w:rFonts w:ascii="Arial" w:hAnsi="Arial" w:cs="Arial"/>
          <w:lang w:val="en-US"/>
        </w:rPr>
        <w:t xml:space="preserve">generated savings across </w:t>
      </w:r>
      <w:r>
        <w:rPr>
          <w:rFonts w:ascii="Arial" w:hAnsi="Arial" w:cs="Arial"/>
          <w:lang w:val="en-US"/>
        </w:rPr>
        <w:t>the c</w:t>
      </w:r>
      <w:r w:rsidRPr="005A5EEE">
        <w:rPr>
          <w:rFonts w:ascii="Arial" w:hAnsi="Arial" w:cs="Arial"/>
          <w:lang w:val="en-US"/>
        </w:rPr>
        <w:t>ouncils.</w:t>
      </w:r>
      <w:r>
        <w:rPr>
          <w:rFonts w:ascii="Arial" w:hAnsi="Arial" w:cs="Arial"/>
          <w:lang w:val="en-US"/>
        </w:rPr>
        <w:t xml:space="preserve"> The total savings are anticipated to rise if the proposals currently being consulted on for the Customer Services and Revenues &amp; Benefits review are implemented. </w:t>
      </w:r>
    </w:p>
    <w:p w14:paraId="55DBA4CD" w14:textId="77777777" w:rsidR="00497729" w:rsidRPr="00151D60" w:rsidRDefault="00425003" w:rsidP="00151D60">
      <w:pPr>
        <w:pStyle w:val="ListParagraph"/>
        <w:ind w:left="0"/>
        <w:rPr>
          <w:rFonts w:ascii="Arial" w:hAnsi="Arial" w:cs="Arial"/>
          <w:lang w:val="en-US"/>
        </w:rPr>
      </w:pPr>
    </w:p>
    <w:p w14:paraId="55DBA4CE" w14:textId="77777777" w:rsidR="00497729" w:rsidRDefault="0095082E" w:rsidP="009E4112">
      <w:pPr>
        <w:pStyle w:val="ListParagraph"/>
        <w:numPr>
          <w:ilvl w:val="0"/>
          <w:numId w:val="21"/>
        </w:numPr>
        <w:spacing w:after="0"/>
        <w:jc w:val="both"/>
        <w:rPr>
          <w:rFonts w:ascii="Arial" w:hAnsi="Arial" w:cs="Arial"/>
          <w:lang w:val="en-US"/>
        </w:rPr>
      </w:pPr>
      <w:r>
        <w:rPr>
          <w:rFonts w:ascii="Arial" w:hAnsi="Arial" w:cs="Arial"/>
          <w:lang w:val="en-US"/>
        </w:rPr>
        <w:t xml:space="preserve">As other work is undertaken, such as joint procurement and shared systems, savings to non-staffing cash budgets have been achieved. Work will be carried out in the coming months to quantify and record these savings through shared services and will be  included in reporting to the Committee. </w:t>
      </w:r>
    </w:p>
    <w:p w14:paraId="55DBA4CF" w14:textId="77777777" w:rsidR="00B4211F" w:rsidRPr="005A5EEE" w:rsidRDefault="00425003" w:rsidP="00B4211F">
      <w:pPr>
        <w:pStyle w:val="ListParagraph"/>
        <w:jc w:val="both"/>
        <w:rPr>
          <w:rFonts w:ascii="Arial" w:hAnsi="Arial" w:cs="Arial"/>
          <w:lang w:val="en-US"/>
        </w:rPr>
      </w:pPr>
    </w:p>
    <w:tbl>
      <w:tblPr>
        <w:tblW w:w="11300" w:type="dxa"/>
        <w:tblInd w:w="-830" w:type="dxa"/>
        <w:tblLook w:val="04A0" w:firstRow="1" w:lastRow="0" w:firstColumn="1" w:lastColumn="0" w:noHBand="0" w:noVBand="1"/>
      </w:tblPr>
      <w:tblGrid>
        <w:gridCol w:w="2952"/>
        <w:gridCol w:w="1559"/>
        <w:gridCol w:w="1843"/>
        <w:gridCol w:w="1275"/>
        <w:gridCol w:w="1276"/>
        <w:gridCol w:w="1701"/>
        <w:gridCol w:w="694"/>
      </w:tblGrid>
      <w:tr w:rsidR="00EA4274" w14:paraId="55DBA4D4" w14:textId="77777777" w:rsidTr="009E4112">
        <w:trPr>
          <w:trHeight w:val="300"/>
        </w:trPr>
        <w:tc>
          <w:tcPr>
            <w:tcW w:w="2952" w:type="dxa"/>
            <w:tcBorders>
              <w:top w:val="single" w:sz="4" w:space="0" w:color="auto"/>
              <w:left w:val="single" w:sz="4" w:space="0" w:color="auto"/>
              <w:bottom w:val="single" w:sz="4" w:space="0" w:color="auto"/>
              <w:right w:val="nil"/>
            </w:tcBorders>
            <w:shd w:val="clear" w:color="000000" w:fill="BFBFBF"/>
            <w:vAlign w:val="center"/>
            <w:hideMark/>
          </w:tcPr>
          <w:p w14:paraId="55DBA4D0" w14:textId="77777777" w:rsidR="002E6CAA" w:rsidRPr="00E74D77" w:rsidRDefault="0095082E" w:rsidP="001A5374">
            <w:pPr>
              <w:spacing w:after="0" w:line="240" w:lineRule="auto"/>
              <w:rPr>
                <w:rFonts w:ascii="Arial" w:eastAsia="Times New Roman" w:hAnsi="Arial" w:cs="Arial"/>
                <w:b/>
                <w:bCs/>
                <w:color w:val="000000"/>
                <w:lang w:eastAsia="en-GB"/>
              </w:rPr>
            </w:pPr>
            <w:r w:rsidRPr="00E74D77">
              <w:rPr>
                <w:rFonts w:ascii="Arial" w:eastAsia="Times New Roman" w:hAnsi="Arial" w:cs="Arial"/>
                <w:b/>
                <w:bCs/>
                <w:color w:val="000000"/>
                <w:lang w:eastAsia="en-GB"/>
              </w:rPr>
              <w:t>Budgeted charges across Councils 21/22</w:t>
            </w:r>
          </w:p>
        </w:tc>
        <w:tc>
          <w:tcPr>
            <w:tcW w:w="1559" w:type="dxa"/>
            <w:tcBorders>
              <w:top w:val="nil"/>
              <w:left w:val="nil"/>
              <w:bottom w:val="single" w:sz="4" w:space="0" w:color="auto"/>
              <w:right w:val="nil"/>
            </w:tcBorders>
            <w:shd w:val="clear" w:color="auto" w:fill="auto"/>
            <w:vAlign w:val="center"/>
            <w:hideMark/>
          </w:tcPr>
          <w:p w14:paraId="55DBA4D1" w14:textId="77777777" w:rsidR="002E6CAA" w:rsidRPr="00E74D77" w:rsidRDefault="0095082E" w:rsidP="008B2184">
            <w:pPr>
              <w:spacing w:after="0" w:line="240" w:lineRule="auto"/>
              <w:jc w:val="both"/>
              <w:rPr>
                <w:rFonts w:ascii="Arial" w:eastAsia="Times New Roman" w:hAnsi="Arial" w:cs="Arial"/>
                <w:b/>
                <w:bCs/>
                <w:color w:val="000000"/>
                <w:lang w:eastAsia="en-GB"/>
              </w:rPr>
            </w:pPr>
            <w:r w:rsidRPr="00E74D77">
              <w:rPr>
                <w:rFonts w:ascii="Arial" w:eastAsia="Times New Roman" w:hAnsi="Arial" w:cs="Arial"/>
                <w:b/>
                <w:bCs/>
                <w:color w:val="000000"/>
                <w:lang w:eastAsia="en-GB"/>
              </w:rPr>
              <w:t> </w:t>
            </w:r>
          </w:p>
        </w:tc>
        <w:tc>
          <w:tcPr>
            <w:tcW w:w="4394" w:type="dxa"/>
            <w:gridSpan w:val="3"/>
            <w:tcBorders>
              <w:top w:val="nil"/>
              <w:left w:val="nil"/>
              <w:bottom w:val="single" w:sz="4" w:space="0" w:color="auto"/>
              <w:right w:val="nil"/>
            </w:tcBorders>
            <w:shd w:val="clear" w:color="auto" w:fill="auto"/>
            <w:vAlign w:val="center"/>
            <w:hideMark/>
          </w:tcPr>
          <w:p w14:paraId="55DBA4D2" w14:textId="77777777" w:rsidR="002E6CAA" w:rsidRPr="00E74D77" w:rsidRDefault="0095082E"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 </w:t>
            </w:r>
          </w:p>
        </w:tc>
        <w:tc>
          <w:tcPr>
            <w:tcW w:w="2395" w:type="dxa"/>
            <w:gridSpan w:val="2"/>
            <w:tcBorders>
              <w:top w:val="nil"/>
              <w:left w:val="nil"/>
              <w:bottom w:val="nil"/>
              <w:right w:val="nil"/>
            </w:tcBorders>
            <w:shd w:val="clear" w:color="auto" w:fill="auto"/>
            <w:noWrap/>
            <w:vAlign w:val="bottom"/>
            <w:hideMark/>
          </w:tcPr>
          <w:p w14:paraId="55DBA4D3" w14:textId="77777777" w:rsidR="002E6CAA" w:rsidRPr="00E74D77" w:rsidRDefault="00425003" w:rsidP="008B2184">
            <w:pPr>
              <w:spacing w:after="0" w:line="240" w:lineRule="auto"/>
              <w:jc w:val="center"/>
              <w:rPr>
                <w:rFonts w:ascii="Arial" w:eastAsia="Times New Roman" w:hAnsi="Arial" w:cs="Arial"/>
                <w:b/>
                <w:bCs/>
                <w:lang w:eastAsia="en-GB"/>
              </w:rPr>
            </w:pPr>
          </w:p>
        </w:tc>
      </w:tr>
      <w:tr w:rsidR="00EA4274" w14:paraId="55DBA4DB" w14:textId="77777777" w:rsidTr="009E4112">
        <w:trPr>
          <w:gridAfter w:val="1"/>
          <w:wAfter w:w="694" w:type="dxa"/>
          <w:trHeight w:val="600"/>
        </w:trPr>
        <w:tc>
          <w:tcPr>
            <w:tcW w:w="2952" w:type="dxa"/>
            <w:tcBorders>
              <w:top w:val="nil"/>
              <w:left w:val="single" w:sz="4" w:space="0" w:color="auto"/>
              <w:bottom w:val="single" w:sz="4" w:space="0" w:color="auto"/>
              <w:right w:val="single" w:sz="4" w:space="0" w:color="auto"/>
            </w:tcBorders>
            <w:shd w:val="clear" w:color="000000" w:fill="BFBFBF"/>
            <w:vAlign w:val="center"/>
            <w:hideMark/>
          </w:tcPr>
          <w:p w14:paraId="55DBA4D5" w14:textId="77777777" w:rsidR="002E6CAA" w:rsidRPr="00E74D77" w:rsidRDefault="0095082E" w:rsidP="008B2184">
            <w:pPr>
              <w:spacing w:after="0" w:line="240" w:lineRule="auto"/>
              <w:jc w:val="both"/>
              <w:rPr>
                <w:rFonts w:ascii="Arial" w:eastAsia="Times New Roman" w:hAnsi="Arial" w:cs="Arial"/>
                <w:b/>
                <w:bCs/>
                <w:lang w:eastAsia="en-GB"/>
              </w:rPr>
            </w:pPr>
            <w:r w:rsidRPr="00E74D77">
              <w:rPr>
                <w:rFonts w:ascii="Arial" w:eastAsia="Times New Roman" w:hAnsi="Arial" w:cs="Arial"/>
                <w:b/>
                <w:bCs/>
                <w:lang w:eastAsia="en-GB"/>
              </w:rPr>
              <w:t>Budget Area</w:t>
            </w:r>
          </w:p>
        </w:tc>
        <w:tc>
          <w:tcPr>
            <w:tcW w:w="1559" w:type="dxa"/>
            <w:tcBorders>
              <w:top w:val="nil"/>
              <w:left w:val="nil"/>
              <w:bottom w:val="single" w:sz="4" w:space="0" w:color="auto"/>
              <w:right w:val="single" w:sz="4" w:space="0" w:color="auto"/>
            </w:tcBorders>
            <w:shd w:val="clear" w:color="000000" w:fill="BFBFBF"/>
            <w:vAlign w:val="center"/>
            <w:hideMark/>
          </w:tcPr>
          <w:p w14:paraId="55DBA4D6" w14:textId="77777777" w:rsidR="002E6CAA" w:rsidRPr="00E74D77" w:rsidRDefault="0095082E"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Host Council</w:t>
            </w:r>
          </w:p>
        </w:tc>
        <w:tc>
          <w:tcPr>
            <w:tcW w:w="1843" w:type="dxa"/>
            <w:tcBorders>
              <w:top w:val="nil"/>
              <w:left w:val="nil"/>
              <w:bottom w:val="single" w:sz="4" w:space="0" w:color="auto"/>
              <w:right w:val="single" w:sz="4" w:space="0" w:color="auto"/>
            </w:tcBorders>
            <w:shd w:val="clear" w:color="000000" w:fill="BFBFBF"/>
            <w:vAlign w:val="center"/>
            <w:hideMark/>
          </w:tcPr>
          <w:p w14:paraId="55DBA4D7" w14:textId="77777777" w:rsidR="002E6CAA" w:rsidRPr="00E74D77" w:rsidRDefault="0095082E"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Split Basis CBC/SRBC</w:t>
            </w:r>
          </w:p>
        </w:tc>
        <w:tc>
          <w:tcPr>
            <w:tcW w:w="1275" w:type="dxa"/>
            <w:tcBorders>
              <w:top w:val="nil"/>
              <w:left w:val="nil"/>
              <w:bottom w:val="single" w:sz="4" w:space="0" w:color="auto"/>
              <w:right w:val="single" w:sz="4" w:space="0" w:color="auto"/>
            </w:tcBorders>
            <w:shd w:val="clear" w:color="000000" w:fill="BFBFBF"/>
            <w:vAlign w:val="center"/>
            <w:hideMark/>
          </w:tcPr>
          <w:p w14:paraId="55DBA4D8" w14:textId="77777777" w:rsidR="002E6CAA" w:rsidRPr="00E74D77" w:rsidRDefault="0095082E"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CBC</w:t>
            </w:r>
          </w:p>
        </w:tc>
        <w:tc>
          <w:tcPr>
            <w:tcW w:w="1276" w:type="dxa"/>
            <w:tcBorders>
              <w:top w:val="nil"/>
              <w:left w:val="nil"/>
              <w:bottom w:val="single" w:sz="4" w:space="0" w:color="auto"/>
              <w:right w:val="single" w:sz="4" w:space="0" w:color="auto"/>
            </w:tcBorders>
            <w:shd w:val="clear" w:color="000000" w:fill="BFBFBF"/>
            <w:vAlign w:val="center"/>
            <w:hideMark/>
          </w:tcPr>
          <w:p w14:paraId="55DBA4D9" w14:textId="77777777" w:rsidR="002E6CAA" w:rsidRPr="00E74D77" w:rsidRDefault="0095082E"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SRBC</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55DBA4DA" w14:textId="77777777" w:rsidR="002E6CAA" w:rsidRPr="00E74D77" w:rsidRDefault="0095082E"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Total</w:t>
            </w:r>
          </w:p>
        </w:tc>
      </w:tr>
      <w:tr w:rsidR="00EA4274" w14:paraId="55DBA4E2"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4DC"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Audit</w:t>
            </w:r>
          </w:p>
        </w:tc>
        <w:tc>
          <w:tcPr>
            <w:tcW w:w="1559" w:type="dxa"/>
            <w:tcBorders>
              <w:top w:val="nil"/>
              <w:left w:val="nil"/>
              <w:bottom w:val="single" w:sz="4" w:space="0" w:color="auto"/>
              <w:right w:val="single" w:sz="4" w:space="0" w:color="auto"/>
            </w:tcBorders>
            <w:shd w:val="clear" w:color="auto" w:fill="auto"/>
            <w:vAlign w:val="center"/>
            <w:hideMark/>
          </w:tcPr>
          <w:p w14:paraId="55DBA4DD"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4DE"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4DF"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173,572</w:t>
            </w:r>
          </w:p>
        </w:tc>
        <w:tc>
          <w:tcPr>
            <w:tcW w:w="1276" w:type="dxa"/>
            <w:tcBorders>
              <w:top w:val="nil"/>
              <w:left w:val="nil"/>
              <w:bottom w:val="single" w:sz="4" w:space="0" w:color="auto"/>
              <w:right w:val="single" w:sz="4" w:space="0" w:color="auto"/>
            </w:tcBorders>
            <w:shd w:val="clear" w:color="auto" w:fill="auto"/>
            <w:vAlign w:val="center"/>
            <w:hideMark/>
          </w:tcPr>
          <w:p w14:paraId="55DBA4E0"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173,572</w:t>
            </w:r>
          </w:p>
        </w:tc>
        <w:tc>
          <w:tcPr>
            <w:tcW w:w="1701" w:type="dxa"/>
            <w:tcBorders>
              <w:top w:val="nil"/>
              <w:left w:val="nil"/>
              <w:bottom w:val="single" w:sz="4" w:space="0" w:color="auto"/>
              <w:right w:val="single" w:sz="4" w:space="0" w:color="auto"/>
            </w:tcBorders>
            <w:shd w:val="clear" w:color="auto" w:fill="auto"/>
            <w:vAlign w:val="center"/>
            <w:hideMark/>
          </w:tcPr>
          <w:p w14:paraId="55DBA4E1"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347,144</w:t>
            </w:r>
          </w:p>
        </w:tc>
      </w:tr>
      <w:tr w:rsidR="00EA4274" w14:paraId="55DBA4E9"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4E3"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Governance</w:t>
            </w:r>
          </w:p>
        </w:tc>
        <w:tc>
          <w:tcPr>
            <w:tcW w:w="1559" w:type="dxa"/>
            <w:tcBorders>
              <w:top w:val="nil"/>
              <w:left w:val="nil"/>
              <w:bottom w:val="single" w:sz="4" w:space="0" w:color="auto"/>
              <w:right w:val="single" w:sz="4" w:space="0" w:color="auto"/>
            </w:tcBorders>
            <w:shd w:val="clear" w:color="auto" w:fill="auto"/>
            <w:vAlign w:val="center"/>
            <w:hideMark/>
          </w:tcPr>
          <w:p w14:paraId="55DBA4E4"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4E5"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4E6"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122,779</w:t>
            </w:r>
          </w:p>
        </w:tc>
        <w:tc>
          <w:tcPr>
            <w:tcW w:w="1276" w:type="dxa"/>
            <w:tcBorders>
              <w:top w:val="nil"/>
              <w:left w:val="nil"/>
              <w:bottom w:val="single" w:sz="4" w:space="0" w:color="auto"/>
              <w:right w:val="single" w:sz="4" w:space="0" w:color="auto"/>
            </w:tcBorders>
            <w:shd w:val="clear" w:color="auto" w:fill="auto"/>
            <w:vAlign w:val="center"/>
            <w:hideMark/>
          </w:tcPr>
          <w:p w14:paraId="55DBA4E7"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122,779</w:t>
            </w:r>
          </w:p>
        </w:tc>
        <w:tc>
          <w:tcPr>
            <w:tcW w:w="1701" w:type="dxa"/>
            <w:tcBorders>
              <w:top w:val="nil"/>
              <w:left w:val="nil"/>
              <w:bottom w:val="single" w:sz="4" w:space="0" w:color="auto"/>
              <w:right w:val="single" w:sz="4" w:space="0" w:color="auto"/>
            </w:tcBorders>
            <w:shd w:val="clear" w:color="auto" w:fill="auto"/>
            <w:vAlign w:val="center"/>
            <w:hideMark/>
          </w:tcPr>
          <w:p w14:paraId="55DBA4E8"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245,558</w:t>
            </w:r>
          </w:p>
        </w:tc>
      </w:tr>
      <w:tr w:rsidR="00EA4274" w14:paraId="55DBA4F0"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4EA"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Corporate Admin Team</w:t>
            </w:r>
          </w:p>
        </w:tc>
        <w:tc>
          <w:tcPr>
            <w:tcW w:w="1559" w:type="dxa"/>
            <w:tcBorders>
              <w:top w:val="nil"/>
              <w:left w:val="nil"/>
              <w:bottom w:val="single" w:sz="4" w:space="0" w:color="auto"/>
              <w:right w:val="single" w:sz="4" w:space="0" w:color="auto"/>
            </w:tcBorders>
            <w:shd w:val="clear" w:color="auto" w:fill="auto"/>
            <w:vAlign w:val="center"/>
            <w:hideMark/>
          </w:tcPr>
          <w:p w14:paraId="55DBA4EB"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4EC"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4ED"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105,452</w:t>
            </w:r>
          </w:p>
        </w:tc>
        <w:tc>
          <w:tcPr>
            <w:tcW w:w="1276" w:type="dxa"/>
            <w:tcBorders>
              <w:top w:val="nil"/>
              <w:left w:val="nil"/>
              <w:bottom w:val="single" w:sz="4" w:space="0" w:color="auto"/>
              <w:right w:val="single" w:sz="4" w:space="0" w:color="auto"/>
            </w:tcBorders>
            <w:shd w:val="clear" w:color="auto" w:fill="auto"/>
            <w:vAlign w:val="center"/>
            <w:hideMark/>
          </w:tcPr>
          <w:p w14:paraId="55DBA4EE"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105,452</w:t>
            </w:r>
          </w:p>
        </w:tc>
        <w:tc>
          <w:tcPr>
            <w:tcW w:w="1701" w:type="dxa"/>
            <w:tcBorders>
              <w:top w:val="nil"/>
              <w:left w:val="nil"/>
              <w:bottom w:val="single" w:sz="4" w:space="0" w:color="auto"/>
              <w:right w:val="single" w:sz="4" w:space="0" w:color="auto"/>
            </w:tcBorders>
            <w:shd w:val="clear" w:color="auto" w:fill="auto"/>
            <w:vAlign w:val="center"/>
            <w:hideMark/>
          </w:tcPr>
          <w:p w14:paraId="55DBA4EF"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210,904</w:t>
            </w:r>
          </w:p>
        </w:tc>
      </w:tr>
      <w:tr w:rsidR="00EA4274" w14:paraId="55DBA4F7"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4F1"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Democratic</w:t>
            </w:r>
          </w:p>
        </w:tc>
        <w:tc>
          <w:tcPr>
            <w:tcW w:w="1559" w:type="dxa"/>
            <w:tcBorders>
              <w:top w:val="nil"/>
              <w:left w:val="nil"/>
              <w:bottom w:val="single" w:sz="4" w:space="0" w:color="auto"/>
              <w:right w:val="single" w:sz="4" w:space="0" w:color="auto"/>
            </w:tcBorders>
            <w:shd w:val="clear" w:color="auto" w:fill="auto"/>
            <w:vAlign w:val="center"/>
            <w:hideMark/>
          </w:tcPr>
          <w:p w14:paraId="55DBA4F2"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4F3"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4F4"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221,101</w:t>
            </w:r>
          </w:p>
        </w:tc>
        <w:tc>
          <w:tcPr>
            <w:tcW w:w="1276" w:type="dxa"/>
            <w:tcBorders>
              <w:top w:val="nil"/>
              <w:left w:val="nil"/>
              <w:bottom w:val="single" w:sz="4" w:space="0" w:color="auto"/>
              <w:right w:val="single" w:sz="4" w:space="0" w:color="auto"/>
            </w:tcBorders>
            <w:shd w:val="clear" w:color="auto" w:fill="auto"/>
            <w:vAlign w:val="center"/>
            <w:hideMark/>
          </w:tcPr>
          <w:p w14:paraId="55DBA4F5"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221,101</w:t>
            </w:r>
          </w:p>
        </w:tc>
        <w:tc>
          <w:tcPr>
            <w:tcW w:w="1701" w:type="dxa"/>
            <w:tcBorders>
              <w:top w:val="nil"/>
              <w:left w:val="nil"/>
              <w:bottom w:val="single" w:sz="4" w:space="0" w:color="auto"/>
              <w:right w:val="single" w:sz="4" w:space="0" w:color="auto"/>
            </w:tcBorders>
            <w:shd w:val="clear" w:color="auto" w:fill="auto"/>
            <w:vAlign w:val="center"/>
            <w:hideMark/>
          </w:tcPr>
          <w:p w14:paraId="55DBA4F6"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442,202</w:t>
            </w:r>
          </w:p>
        </w:tc>
      </w:tr>
      <w:tr w:rsidR="00EA4274" w14:paraId="55DBA4FE" w14:textId="77777777" w:rsidTr="009E4112">
        <w:trPr>
          <w:gridAfter w:val="1"/>
          <w:wAfter w:w="694" w:type="dxa"/>
          <w:trHeight w:val="855"/>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4F8"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Mayoral Services</w:t>
            </w:r>
          </w:p>
        </w:tc>
        <w:tc>
          <w:tcPr>
            <w:tcW w:w="1559" w:type="dxa"/>
            <w:tcBorders>
              <w:top w:val="nil"/>
              <w:left w:val="nil"/>
              <w:bottom w:val="single" w:sz="4" w:space="0" w:color="auto"/>
              <w:right w:val="single" w:sz="4" w:space="0" w:color="auto"/>
            </w:tcBorders>
            <w:shd w:val="clear" w:color="auto" w:fill="auto"/>
            <w:vAlign w:val="center"/>
            <w:hideMark/>
          </w:tcPr>
          <w:p w14:paraId="55DBA4F9"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4FA"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 (exc 1 post 100% SRBC)</w:t>
            </w:r>
          </w:p>
        </w:tc>
        <w:tc>
          <w:tcPr>
            <w:tcW w:w="1275" w:type="dxa"/>
            <w:tcBorders>
              <w:top w:val="nil"/>
              <w:left w:val="nil"/>
              <w:bottom w:val="single" w:sz="4" w:space="0" w:color="auto"/>
              <w:right w:val="single" w:sz="4" w:space="0" w:color="auto"/>
            </w:tcBorders>
            <w:shd w:val="clear" w:color="auto" w:fill="auto"/>
            <w:vAlign w:val="center"/>
            <w:hideMark/>
          </w:tcPr>
          <w:p w14:paraId="55DBA4FB"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34,751</w:t>
            </w:r>
          </w:p>
        </w:tc>
        <w:tc>
          <w:tcPr>
            <w:tcW w:w="1276" w:type="dxa"/>
            <w:tcBorders>
              <w:top w:val="nil"/>
              <w:left w:val="nil"/>
              <w:bottom w:val="single" w:sz="4" w:space="0" w:color="auto"/>
              <w:right w:val="single" w:sz="4" w:space="0" w:color="auto"/>
            </w:tcBorders>
            <w:shd w:val="clear" w:color="auto" w:fill="auto"/>
            <w:vAlign w:val="center"/>
            <w:hideMark/>
          </w:tcPr>
          <w:p w14:paraId="55DBA4FC"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65,734</w:t>
            </w:r>
          </w:p>
        </w:tc>
        <w:tc>
          <w:tcPr>
            <w:tcW w:w="1701" w:type="dxa"/>
            <w:tcBorders>
              <w:top w:val="nil"/>
              <w:left w:val="nil"/>
              <w:bottom w:val="single" w:sz="4" w:space="0" w:color="auto"/>
              <w:right w:val="single" w:sz="4" w:space="0" w:color="auto"/>
            </w:tcBorders>
            <w:shd w:val="clear" w:color="auto" w:fill="auto"/>
            <w:vAlign w:val="center"/>
            <w:hideMark/>
          </w:tcPr>
          <w:p w14:paraId="55DBA4FD"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100,485</w:t>
            </w:r>
          </w:p>
        </w:tc>
      </w:tr>
      <w:tr w:rsidR="00EA4274" w14:paraId="55DBA505"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4FF"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Chorley Civic Services</w:t>
            </w:r>
          </w:p>
        </w:tc>
        <w:tc>
          <w:tcPr>
            <w:tcW w:w="1559" w:type="dxa"/>
            <w:tcBorders>
              <w:top w:val="nil"/>
              <w:left w:val="nil"/>
              <w:bottom w:val="single" w:sz="4" w:space="0" w:color="auto"/>
              <w:right w:val="single" w:sz="4" w:space="0" w:color="auto"/>
            </w:tcBorders>
            <w:shd w:val="clear" w:color="auto" w:fill="auto"/>
            <w:vAlign w:val="center"/>
            <w:hideMark/>
          </w:tcPr>
          <w:p w14:paraId="55DBA500"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01"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55DBA502"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160,171</w:t>
            </w:r>
          </w:p>
        </w:tc>
        <w:tc>
          <w:tcPr>
            <w:tcW w:w="1276" w:type="dxa"/>
            <w:tcBorders>
              <w:top w:val="nil"/>
              <w:left w:val="nil"/>
              <w:bottom w:val="single" w:sz="4" w:space="0" w:color="auto"/>
              <w:right w:val="single" w:sz="4" w:space="0" w:color="auto"/>
            </w:tcBorders>
            <w:shd w:val="clear" w:color="auto" w:fill="auto"/>
            <w:vAlign w:val="center"/>
            <w:hideMark/>
          </w:tcPr>
          <w:p w14:paraId="55DBA503"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0</w:t>
            </w:r>
          </w:p>
        </w:tc>
        <w:tc>
          <w:tcPr>
            <w:tcW w:w="1701" w:type="dxa"/>
            <w:tcBorders>
              <w:top w:val="nil"/>
              <w:left w:val="nil"/>
              <w:bottom w:val="single" w:sz="4" w:space="0" w:color="auto"/>
              <w:right w:val="single" w:sz="4" w:space="0" w:color="auto"/>
            </w:tcBorders>
            <w:shd w:val="clear" w:color="auto" w:fill="auto"/>
            <w:vAlign w:val="center"/>
            <w:hideMark/>
          </w:tcPr>
          <w:p w14:paraId="55DBA504"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160,171</w:t>
            </w:r>
          </w:p>
        </w:tc>
      </w:tr>
      <w:tr w:rsidR="00EA4274" w14:paraId="55DBA50C" w14:textId="77777777" w:rsidTr="009E4112">
        <w:trPr>
          <w:gridAfter w:val="1"/>
          <w:wAfter w:w="694" w:type="dxa"/>
          <w:trHeight w:val="855"/>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06"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Legal</w:t>
            </w:r>
          </w:p>
        </w:tc>
        <w:tc>
          <w:tcPr>
            <w:tcW w:w="1559" w:type="dxa"/>
            <w:tcBorders>
              <w:top w:val="nil"/>
              <w:left w:val="nil"/>
              <w:bottom w:val="single" w:sz="4" w:space="0" w:color="auto"/>
              <w:right w:val="single" w:sz="4" w:space="0" w:color="auto"/>
            </w:tcBorders>
            <w:shd w:val="clear" w:color="auto" w:fill="auto"/>
            <w:vAlign w:val="center"/>
            <w:hideMark/>
          </w:tcPr>
          <w:p w14:paraId="55DBA507"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08"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 (exc 1 post 100% SRBC)</w:t>
            </w:r>
          </w:p>
        </w:tc>
        <w:tc>
          <w:tcPr>
            <w:tcW w:w="1275" w:type="dxa"/>
            <w:tcBorders>
              <w:top w:val="nil"/>
              <w:left w:val="nil"/>
              <w:bottom w:val="single" w:sz="4" w:space="0" w:color="auto"/>
              <w:right w:val="single" w:sz="4" w:space="0" w:color="auto"/>
            </w:tcBorders>
            <w:shd w:val="clear" w:color="auto" w:fill="auto"/>
            <w:vAlign w:val="center"/>
            <w:hideMark/>
          </w:tcPr>
          <w:p w14:paraId="55DBA509"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188,652</w:t>
            </w:r>
          </w:p>
        </w:tc>
        <w:tc>
          <w:tcPr>
            <w:tcW w:w="1276" w:type="dxa"/>
            <w:tcBorders>
              <w:top w:val="nil"/>
              <w:left w:val="nil"/>
              <w:bottom w:val="single" w:sz="4" w:space="0" w:color="auto"/>
              <w:right w:val="single" w:sz="4" w:space="0" w:color="auto"/>
            </w:tcBorders>
            <w:shd w:val="clear" w:color="auto" w:fill="auto"/>
            <w:vAlign w:val="center"/>
            <w:hideMark/>
          </w:tcPr>
          <w:p w14:paraId="55DBA50A"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214,975</w:t>
            </w:r>
          </w:p>
        </w:tc>
        <w:tc>
          <w:tcPr>
            <w:tcW w:w="1701" w:type="dxa"/>
            <w:tcBorders>
              <w:top w:val="nil"/>
              <w:left w:val="nil"/>
              <w:bottom w:val="single" w:sz="4" w:space="0" w:color="auto"/>
              <w:right w:val="single" w:sz="4" w:space="0" w:color="auto"/>
            </w:tcBorders>
            <w:shd w:val="clear" w:color="auto" w:fill="auto"/>
            <w:vAlign w:val="center"/>
            <w:hideMark/>
          </w:tcPr>
          <w:p w14:paraId="55DBA50B"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403,627</w:t>
            </w:r>
          </w:p>
        </w:tc>
      </w:tr>
      <w:tr w:rsidR="00EA4274" w14:paraId="55DBA513"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0D"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Procurement</w:t>
            </w:r>
          </w:p>
        </w:tc>
        <w:tc>
          <w:tcPr>
            <w:tcW w:w="1559" w:type="dxa"/>
            <w:tcBorders>
              <w:top w:val="nil"/>
              <w:left w:val="nil"/>
              <w:bottom w:val="single" w:sz="4" w:space="0" w:color="auto"/>
              <w:right w:val="single" w:sz="4" w:space="0" w:color="auto"/>
            </w:tcBorders>
            <w:shd w:val="clear" w:color="auto" w:fill="auto"/>
            <w:vAlign w:val="center"/>
            <w:hideMark/>
          </w:tcPr>
          <w:p w14:paraId="55DBA50E"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0F"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510"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69,111</w:t>
            </w:r>
          </w:p>
        </w:tc>
        <w:tc>
          <w:tcPr>
            <w:tcW w:w="1276" w:type="dxa"/>
            <w:tcBorders>
              <w:top w:val="nil"/>
              <w:left w:val="nil"/>
              <w:bottom w:val="single" w:sz="4" w:space="0" w:color="auto"/>
              <w:right w:val="single" w:sz="4" w:space="0" w:color="auto"/>
            </w:tcBorders>
            <w:shd w:val="clear" w:color="auto" w:fill="auto"/>
            <w:vAlign w:val="center"/>
            <w:hideMark/>
          </w:tcPr>
          <w:p w14:paraId="55DBA511"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69,111</w:t>
            </w:r>
          </w:p>
        </w:tc>
        <w:tc>
          <w:tcPr>
            <w:tcW w:w="1701" w:type="dxa"/>
            <w:tcBorders>
              <w:top w:val="nil"/>
              <w:left w:val="nil"/>
              <w:bottom w:val="single" w:sz="4" w:space="0" w:color="auto"/>
              <w:right w:val="single" w:sz="4" w:space="0" w:color="auto"/>
            </w:tcBorders>
            <w:shd w:val="clear" w:color="auto" w:fill="auto"/>
            <w:vAlign w:val="center"/>
            <w:hideMark/>
          </w:tcPr>
          <w:p w14:paraId="55DBA512"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138,222</w:t>
            </w:r>
          </w:p>
        </w:tc>
      </w:tr>
      <w:tr w:rsidR="00EA4274" w14:paraId="55DBA51A"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14"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Town Hall and Bengal Street</w:t>
            </w:r>
          </w:p>
        </w:tc>
        <w:tc>
          <w:tcPr>
            <w:tcW w:w="1559" w:type="dxa"/>
            <w:tcBorders>
              <w:top w:val="nil"/>
              <w:left w:val="nil"/>
              <w:bottom w:val="single" w:sz="4" w:space="0" w:color="auto"/>
              <w:right w:val="single" w:sz="4" w:space="0" w:color="auto"/>
            </w:tcBorders>
            <w:shd w:val="clear" w:color="auto" w:fill="auto"/>
            <w:vAlign w:val="center"/>
            <w:hideMark/>
          </w:tcPr>
          <w:p w14:paraId="55DBA515"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16"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55DBA517"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47,568</w:t>
            </w:r>
          </w:p>
        </w:tc>
        <w:tc>
          <w:tcPr>
            <w:tcW w:w="1276" w:type="dxa"/>
            <w:tcBorders>
              <w:top w:val="nil"/>
              <w:left w:val="nil"/>
              <w:bottom w:val="single" w:sz="4" w:space="0" w:color="auto"/>
              <w:right w:val="single" w:sz="4" w:space="0" w:color="auto"/>
            </w:tcBorders>
            <w:shd w:val="clear" w:color="auto" w:fill="auto"/>
            <w:vAlign w:val="center"/>
            <w:hideMark/>
          </w:tcPr>
          <w:p w14:paraId="55DBA518"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0</w:t>
            </w:r>
          </w:p>
        </w:tc>
        <w:tc>
          <w:tcPr>
            <w:tcW w:w="1701" w:type="dxa"/>
            <w:tcBorders>
              <w:top w:val="nil"/>
              <w:left w:val="nil"/>
              <w:bottom w:val="single" w:sz="4" w:space="0" w:color="auto"/>
              <w:right w:val="single" w:sz="4" w:space="0" w:color="auto"/>
            </w:tcBorders>
            <w:shd w:val="clear" w:color="auto" w:fill="auto"/>
            <w:vAlign w:val="center"/>
            <w:hideMark/>
          </w:tcPr>
          <w:p w14:paraId="55DBA519"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47,568</w:t>
            </w:r>
          </w:p>
        </w:tc>
      </w:tr>
      <w:tr w:rsidR="00EA4274" w14:paraId="55DBA521"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1B"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Union Street</w:t>
            </w:r>
          </w:p>
        </w:tc>
        <w:tc>
          <w:tcPr>
            <w:tcW w:w="1559" w:type="dxa"/>
            <w:tcBorders>
              <w:top w:val="nil"/>
              <w:left w:val="nil"/>
              <w:bottom w:val="single" w:sz="4" w:space="0" w:color="auto"/>
              <w:right w:val="single" w:sz="4" w:space="0" w:color="auto"/>
            </w:tcBorders>
            <w:shd w:val="clear" w:color="auto" w:fill="auto"/>
            <w:vAlign w:val="center"/>
            <w:hideMark/>
          </w:tcPr>
          <w:p w14:paraId="55DBA51C"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1D"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55DBA51E"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42,914</w:t>
            </w:r>
          </w:p>
        </w:tc>
        <w:tc>
          <w:tcPr>
            <w:tcW w:w="1276" w:type="dxa"/>
            <w:tcBorders>
              <w:top w:val="nil"/>
              <w:left w:val="nil"/>
              <w:bottom w:val="single" w:sz="4" w:space="0" w:color="auto"/>
              <w:right w:val="single" w:sz="4" w:space="0" w:color="auto"/>
            </w:tcBorders>
            <w:shd w:val="clear" w:color="auto" w:fill="auto"/>
            <w:vAlign w:val="center"/>
            <w:hideMark/>
          </w:tcPr>
          <w:p w14:paraId="55DBA51F"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0</w:t>
            </w:r>
          </w:p>
        </w:tc>
        <w:tc>
          <w:tcPr>
            <w:tcW w:w="1701" w:type="dxa"/>
            <w:tcBorders>
              <w:top w:val="nil"/>
              <w:left w:val="nil"/>
              <w:bottom w:val="single" w:sz="4" w:space="0" w:color="auto"/>
              <w:right w:val="single" w:sz="4" w:space="0" w:color="auto"/>
            </w:tcBorders>
            <w:shd w:val="clear" w:color="auto" w:fill="auto"/>
            <w:vAlign w:val="center"/>
            <w:hideMark/>
          </w:tcPr>
          <w:p w14:paraId="55DBA520"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42,914</w:t>
            </w:r>
          </w:p>
        </w:tc>
      </w:tr>
      <w:tr w:rsidR="00EA4274" w14:paraId="55DBA528"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22"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Lancastrian</w:t>
            </w:r>
          </w:p>
        </w:tc>
        <w:tc>
          <w:tcPr>
            <w:tcW w:w="1559" w:type="dxa"/>
            <w:tcBorders>
              <w:top w:val="nil"/>
              <w:left w:val="nil"/>
              <w:bottom w:val="single" w:sz="4" w:space="0" w:color="auto"/>
              <w:right w:val="single" w:sz="4" w:space="0" w:color="auto"/>
            </w:tcBorders>
            <w:shd w:val="clear" w:color="auto" w:fill="auto"/>
            <w:vAlign w:val="center"/>
            <w:hideMark/>
          </w:tcPr>
          <w:p w14:paraId="55DBA523"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24"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55DBA525"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54,721</w:t>
            </w:r>
          </w:p>
        </w:tc>
        <w:tc>
          <w:tcPr>
            <w:tcW w:w="1276" w:type="dxa"/>
            <w:tcBorders>
              <w:top w:val="nil"/>
              <w:left w:val="nil"/>
              <w:bottom w:val="single" w:sz="4" w:space="0" w:color="auto"/>
              <w:right w:val="single" w:sz="4" w:space="0" w:color="auto"/>
            </w:tcBorders>
            <w:shd w:val="clear" w:color="auto" w:fill="auto"/>
            <w:vAlign w:val="center"/>
            <w:hideMark/>
          </w:tcPr>
          <w:p w14:paraId="55DBA526"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0</w:t>
            </w:r>
          </w:p>
        </w:tc>
        <w:tc>
          <w:tcPr>
            <w:tcW w:w="1701" w:type="dxa"/>
            <w:tcBorders>
              <w:top w:val="nil"/>
              <w:left w:val="nil"/>
              <w:bottom w:val="single" w:sz="4" w:space="0" w:color="auto"/>
              <w:right w:val="single" w:sz="4" w:space="0" w:color="auto"/>
            </w:tcBorders>
            <w:shd w:val="clear" w:color="auto" w:fill="auto"/>
            <w:vAlign w:val="center"/>
            <w:hideMark/>
          </w:tcPr>
          <w:p w14:paraId="55DBA527"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54,721</w:t>
            </w:r>
          </w:p>
        </w:tc>
      </w:tr>
      <w:tr w:rsidR="00EA4274" w14:paraId="55DBA52F"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29"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Communications</w:t>
            </w:r>
          </w:p>
        </w:tc>
        <w:tc>
          <w:tcPr>
            <w:tcW w:w="1559" w:type="dxa"/>
            <w:tcBorders>
              <w:top w:val="nil"/>
              <w:left w:val="nil"/>
              <w:bottom w:val="single" w:sz="4" w:space="0" w:color="auto"/>
              <w:right w:val="single" w:sz="4" w:space="0" w:color="auto"/>
            </w:tcBorders>
            <w:shd w:val="clear" w:color="auto" w:fill="auto"/>
            <w:vAlign w:val="center"/>
            <w:hideMark/>
          </w:tcPr>
          <w:p w14:paraId="55DBA52A"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2B"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52C"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163,921</w:t>
            </w:r>
          </w:p>
        </w:tc>
        <w:tc>
          <w:tcPr>
            <w:tcW w:w="1276" w:type="dxa"/>
            <w:tcBorders>
              <w:top w:val="nil"/>
              <w:left w:val="nil"/>
              <w:bottom w:val="single" w:sz="4" w:space="0" w:color="auto"/>
              <w:right w:val="single" w:sz="4" w:space="0" w:color="auto"/>
            </w:tcBorders>
            <w:shd w:val="clear" w:color="auto" w:fill="auto"/>
            <w:vAlign w:val="center"/>
            <w:hideMark/>
          </w:tcPr>
          <w:p w14:paraId="55DBA52D"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163,921</w:t>
            </w:r>
          </w:p>
        </w:tc>
        <w:tc>
          <w:tcPr>
            <w:tcW w:w="1701" w:type="dxa"/>
            <w:tcBorders>
              <w:top w:val="nil"/>
              <w:left w:val="nil"/>
              <w:bottom w:val="single" w:sz="4" w:space="0" w:color="auto"/>
              <w:right w:val="single" w:sz="4" w:space="0" w:color="auto"/>
            </w:tcBorders>
            <w:shd w:val="clear" w:color="auto" w:fill="auto"/>
            <w:vAlign w:val="center"/>
            <w:hideMark/>
          </w:tcPr>
          <w:p w14:paraId="55DBA52E"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327,842</w:t>
            </w:r>
          </w:p>
        </w:tc>
      </w:tr>
      <w:tr w:rsidR="00EA4274" w14:paraId="55DBA536"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30"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Events</w:t>
            </w:r>
          </w:p>
        </w:tc>
        <w:tc>
          <w:tcPr>
            <w:tcW w:w="1559" w:type="dxa"/>
            <w:tcBorders>
              <w:top w:val="nil"/>
              <w:left w:val="nil"/>
              <w:bottom w:val="single" w:sz="4" w:space="0" w:color="auto"/>
              <w:right w:val="single" w:sz="4" w:space="0" w:color="auto"/>
            </w:tcBorders>
            <w:shd w:val="clear" w:color="auto" w:fill="auto"/>
            <w:vAlign w:val="center"/>
            <w:hideMark/>
          </w:tcPr>
          <w:p w14:paraId="55DBA531"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32"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60/40</w:t>
            </w:r>
          </w:p>
        </w:tc>
        <w:tc>
          <w:tcPr>
            <w:tcW w:w="1275" w:type="dxa"/>
            <w:tcBorders>
              <w:top w:val="nil"/>
              <w:left w:val="nil"/>
              <w:bottom w:val="single" w:sz="4" w:space="0" w:color="auto"/>
              <w:right w:val="single" w:sz="4" w:space="0" w:color="auto"/>
            </w:tcBorders>
            <w:shd w:val="clear" w:color="auto" w:fill="auto"/>
            <w:vAlign w:val="center"/>
            <w:hideMark/>
          </w:tcPr>
          <w:p w14:paraId="55DBA533"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85,176</w:t>
            </w:r>
          </w:p>
        </w:tc>
        <w:tc>
          <w:tcPr>
            <w:tcW w:w="1276" w:type="dxa"/>
            <w:tcBorders>
              <w:top w:val="nil"/>
              <w:left w:val="nil"/>
              <w:bottom w:val="single" w:sz="4" w:space="0" w:color="auto"/>
              <w:right w:val="single" w:sz="4" w:space="0" w:color="auto"/>
            </w:tcBorders>
            <w:shd w:val="clear" w:color="auto" w:fill="auto"/>
            <w:vAlign w:val="center"/>
            <w:hideMark/>
          </w:tcPr>
          <w:p w14:paraId="55DBA534"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54,214</w:t>
            </w:r>
          </w:p>
        </w:tc>
        <w:tc>
          <w:tcPr>
            <w:tcW w:w="1701" w:type="dxa"/>
            <w:tcBorders>
              <w:top w:val="nil"/>
              <w:left w:val="nil"/>
              <w:bottom w:val="single" w:sz="4" w:space="0" w:color="auto"/>
              <w:right w:val="single" w:sz="4" w:space="0" w:color="auto"/>
            </w:tcBorders>
            <w:shd w:val="clear" w:color="auto" w:fill="auto"/>
            <w:vAlign w:val="center"/>
            <w:hideMark/>
          </w:tcPr>
          <w:p w14:paraId="55DBA535"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139,390</w:t>
            </w:r>
          </w:p>
        </w:tc>
      </w:tr>
      <w:tr w:rsidR="00EA4274" w14:paraId="55DBA53D"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37" w14:textId="525737E8"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Astley</w:t>
            </w:r>
            <w:r>
              <w:rPr>
                <w:rFonts w:ascii="Arial" w:eastAsia="Times New Roman" w:hAnsi="Arial" w:cs="Arial"/>
                <w:lang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5DBA538"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55DBA539"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55DBA53A"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218,210</w:t>
            </w:r>
          </w:p>
        </w:tc>
        <w:tc>
          <w:tcPr>
            <w:tcW w:w="1276" w:type="dxa"/>
            <w:tcBorders>
              <w:top w:val="nil"/>
              <w:left w:val="nil"/>
              <w:bottom w:val="single" w:sz="4" w:space="0" w:color="auto"/>
              <w:right w:val="single" w:sz="4" w:space="0" w:color="auto"/>
            </w:tcBorders>
            <w:shd w:val="clear" w:color="auto" w:fill="auto"/>
            <w:vAlign w:val="center"/>
            <w:hideMark/>
          </w:tcPr>
          <w:p w14:paraId="55DBA53B"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 </w:t>
            </w:r>
          </w:p>
        </w:tc>
        <w:tc>
          <w:tcPr>
            <w:tcW w:w="1701" w:type="dxa"/>
            <w:tcBorders>
              <w:top w:val="nil"/>
              <w:left w:val="nil"/>
              <w:bottom w:val="single" w:sz="4" w:space="0" w:color="auto"/>
              <w:right w:val="single" w:sz="4" w:space="0" w:color="auto"/>
            </w:tcBorders>
            <w:shd w:val="clear" w:color="auto" w:fill="auto"/>
            <w:vAlign w:val="center"/>
            <w:hideMark/>
          </w:tcPr>
          <w:p w14:paraId="55DBA53C"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218,210</w:t>
            </w:r>
          </w:p>
        </w:tc>
      </w:tr>
      <w:tr w:rsidR="00EA4274" w14:paraId="55DBA544" w14:textId="77777777" w:rsidTr="009E4112">
        <w:trPr>
          <w:gridAfter w:val="1"/>
          <w:wAfter w:w="694" w:type="dxa"/>
          <w:trHeight w:val="57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3E"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Shared Chief Executive, Deputy Chief Executive and Directors</w:t>
            </w:r>
          </w:p>
        </w:tc>
        <w:tc>
          <w:tcPr>
            <w:tcW w:w="1559" w:type="dxa"/>
            <w:tcBorders>
              <w:top w:val="nil"/>
              <w:left w:val="nil"/>
              <w:bottom w:val="single" w:sz="4" w:space="0" w:color="auto"/>
              <w:right w:val="single" w:sz="4" w:space="0" w:color="auto"/>
            </w:tcBorders>
            <w:shd w:val="clear" w:color="auto" w:fill="auto"/>
            <w:vAlign w:val="center"/>
            <w:hideMark/>
          </w:tcPr>
          <w:p w14:paraId="55DBA53F"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CBC/SRBC</w:t>
            </w:r>
          </w:p>
        </w:tc>
        <w:tc>
          <w:tcPr>
            <w:tcW w:w="1843" w:type="dxa"/>
            <w:tcBorders>
              <w:top w:val="nil"/>
              <w:left w:val="nil"/>
              <w:bottom w:val="single" w:sz="4" w:space="0" w:color="auto"/>
              <w:right w:val="single" w:sz="4" w:space="0" w:color="auto"/>
            </w:tcBorders>
            <w:shd w:val="clear" w:color="auto" w:fill="auto"/>
            <w:vAlign w:val="center"/>
            <w:hideMark/>
          </w:tcPr>
          <w:p w14:paraId="55DBA540"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541"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354,270</w:t>
            </w:r>
          </w:p>
        </w:tc>
        <w:tc>
          <w:tcPr>
            <w:tcW w:w="1276" w:type="dxa"/>
            <w:tcBorders>
              <w:top w:val="nil"/>
              <w:left w:val="nil"/>
              <w:bottom w:val="single" w:sz="4" w:space="0" w:color="auto"/>
              <w:right w:val="single" w:sz="4" w:space="0" w:color="auto"/>
            </w:tcBorders>
            <w:shd w:val="clear" w:color="auto" w:fill="auto"/>
            <w:vAlign w:val="center"/>
            <w:hideMark/>
          </w:tcPr>
          <w:p w14:paraId="55DBA542"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354,270</w:t>
            </w:r>
          </w:p>
        </w:tc>
        <w:tc>
          <w:tcPr>
            <w:tcW w:w="1701" w:type="dxa"/>
            <w:tcBorders>
              <w:top w:val="nil"/>
              <w:left w:val="nil"/>
              <w:bottom w:val="single" w:sz="4" w:space="0" w:color="auto"/>
              <w:right w:val="single" w:sz="4" w:space="0" w:color="auto"/>
            </w:tcBorders>
            <w:shd w:val="clear" w:color="auto" w:fill="auto"/>
            <w:vAlign w:val="center"/>
            <w:hideMark/>
          </w:tcPr>
          <w:p w14:paraId="55DBA543"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708,540</w:t>
            </w:r>
          </w:p>
        </w:tc>
      </w:tr>
      <w:tr w:rsidR="00EA4274" w14:paraId="55DBA54B"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45"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Finance</w:t>
            </w:r>
          </w:p>
        </w:tc>
        <w:tc>
          <w:tcPr>
            <w:tcW w:w="1559" w:type="dxa"/>
            <w:tcBorders>
              <w:top w:val="nil"/>
              <w:left w:val="nil"/>
              <w:bottom w:val="single" w:sz="4" w:space="0" w:color="auto"/>
              <w:right w:val="single" w:sz="4" w:space="0" w:color="auto"/>
            </w:tcBorders>
            <w:shd w:val="clear" w:color="auto" w:fill="auto"/>
            <w:vAlign w:val="center"/>
            <w:hideMark/>
          </w:tcPr>
          <w:p w14:paraId="55DBA546"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 xml:space="preserve">CBC </w:t>
            </w:r>
          </w:p>
        </w:tc>
        <w:tc>
          <w:tcPr>
            <w:tcW w:w="1843" w:type="dxa"/>
            <w:tcBorders>
              <w:top w:val="nil"/>
              <w:left w:val="nil"/>
              <w:bottom w:val="single" w:sz="4" w:space="0" w:color="auto"/>
              <w:right w:val="single" w:sz="4" w:space="0" w:color="auto"/>
            </w:tcBorders>
            <w:shd w:val="clear" w:color="auto" w:fill="auto"/>
            <w:vAlign w:val="center"/>
            <w:hideMark/>
          </w:tcPr>
          <w:p w14:paraId="55DBA547"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548"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620,900</w:t>
            </w:r>
          </w:p>
        </w:tc>
        <w:tc>
          <w:tcPr>
            <w:tcW w:w="1276" w:type="dxa"/>
            <w:tcBorders>
              <w:top w:val="nil"/>
              <w:left w:val="nil"/>
              <w:bottom w:val="single" w:sz="4" w:space="0" w:color="auto"/>
              <w:right w:val="single" w:sz="4" w:space="0" w:color="auto"/>
            </w:tcBorders>
            <w:shd w:val="clear" w:color="auto" w:fill="auto"/>
            <w:vAlign w:val="center"/>
            <w:hideMark/>
          </w:tcPr>
          <w:p w14:paraId="55DBA549"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620,900</w:t>
            </w:r>
          </w:p>
        </w:tc>
        <w:tc>
          <w:tcPr>
            <w:tcW w:w="1701" w:type="dxa"/>
            <w:tcBorders>
              <w:top w:val="nil"/>
              <w:left w:val="nil"/>
              <w:bottom w:val="single" w:sz="4" w:space="0" w:color="auto"/>
              <w:right w:val="single" w:sz="4" w:space="0" w:color="auto"/>
            </w:tcBorders>
            <w:shd w:val="clear" w:color="auto" w:fill="auto"/>
            <w:vAlign w:val="center"/>
            <w:hideMark/>
          </w:tcPr>
          <w:p w14:paraId="55DBA54A"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1,241,800</w:t>
            </w:r>
          </w:p>
        </w:tc>
      </w:tr>
      <w:tr w:rsidR="00EA4274" w14:paraId="55DBA552" w14:textId="77777777" w:rsidTr="009E4112">
        <w:trPr>
          <w:gridAfter w:val="1"/>
          <w:wAfter w:w="694" w:type="dxa"/>
          <w:trHeight w:val="855"/>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4C"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Transformation and partnerships</w:t>
            </w:r>
          </w:p>
        </w:tc>
        <w:tc>
          <w:tcPr>
            <w:tcW w:w="1559" w:type="dxa"/>
            <w:tcBorders>
              <w:top w:val="nil"/>
              <w:left w:val="nil"/>
              <w:bottom w:val="single" w:sz="4" w:space="0" w:color="auto"/>
              <w:right w:val="single" w:sz="4" w:space="0" w:color="auto"/>
            </w:tcBorders>
            <w:shd w:val="clear" w:color="auto" w:fill="auto"/>
            <w:vAlign w:val="center"/>
            <w:hideMark/>
          </w:tcPr>
          <w:p w14:paraId="55DBA54D"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CBC</w:t>
            </w:r>
          </w:p>
        </w:tc>
        <w:tc>
          <w:tcPr>
            <w:tcW w:w="1843" w:type="dxa"/>
            <w:tcBorders>
              <w:top w:val="nil"/>
              <w:left w:val="nil"/>
              <w:bottom w:val="single" w:sz="4" w:space="0" w:color="auto"/>
              <w:right w:val="single" w:sz="4" w:space="0" w:color="auto"/>
            </w:tcBorders>
            <w:shd w:val="clear" w:color="auto" w:fill="auto"/>
            <w:vAlign w:val="center"/>
            <w:hideMark/>
          </w:tcPr>
          <w:p w14:paraId="55DBA54E"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 (exc 3 posts 100% CBC)</w:t>
            </w:r>
          </w:p>
        </w:tc>
        <w:tc>
          <w:tcPr>
            <w:tcW w:w="1275" w:type="dxa"/>
            <w:tcBorders>
              <w:top w:val="nil"/>
              <w:left w:val="nil"/>
              <w:bottom w:val="single" w:sz="4" w:space="0" w:color="auto"/>
              <w:right w:val="single" w:sz="4" w:space="0" w:color="auto"/>
            </w:tcBorders>
            <w:shd w:val="clear" w:color="auto" w:fill="auto"/>
            <w:vAlign w:val="center"/>
            <w:hideMark/>
          </w:tcPr>
          <w:p w14:paraId="55DBA54F"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380,720</w:t>
            </w:r>
          </w:p>
        </w:tc>
        <w:tc>
          <w:tcPr>
            <w:tcW w:w="1276" w:type="dxa"/>
            <w:tcBorders>
              <w:top w:val="nil"/>
              <w:left w:val="nil"/>
              <w:bottom w:val="single" w:sz="4" w:space="0" w:color="auto"/>
              <w:right w:val="single" w:sz="4" w:space="0" w:color="auto"/>
            </w:tcBorders>
            <w:shd w:val="clear" w:color="auto" w:fill="auto"/>
            <w:vAlign w:val="center"/>
            <w:hideMark/>
          </w:tcPr>
          <w:p w14:paraId="55DBA550"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261,100</w:t>
            </w:r>
          </w:p>
        </w:tc>
        <w:tc>
          <w:tcPr>
            <w:tcW w:w="1701" w:type="dxa"/>
            <w:tcBorders>
              <w:top w:val="nil"/>
              <w:left w:val="nil"/>
              <w:bottom w:val="single" w:sz="4" w:space="0" w:color="auto"/>
              <w:right w:val="single" w:sz="4" w:space="0" w:color="auto"/>
            </w:tcBorders>
            <w:shd w:val="clear" w:color="auto" w:fill="auto"/>
            <w:vAlign w:val="center"/>
            <w:hideMark/>
          </w:tcPr>
          <w:p w14:paraId="55DBA551"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641,820</w:t>
            </w:r>
          </w:p>
        </w:tc>
      </w:tr>
      <w:tr w:rsidR="00EA4274" w14:paraId="55DBA559"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53"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Human Resources</w:t>
            </w:r>
          </w:p>
        </w:tc>
        <w:tc>
          <w:tcPr>
            <w:tcW w:w="1559" w:type="dxa"/>
            <w:tcBorders>
              <w:top w:val="nil"/>
              <w:left w:val="nil"/>
              <w:bottom w:val="single" w:sz="4" w:space="0" w:color="auto"/>
              <w:right w:val="single" w:sz="4" w:space="0" w:color="auto"/>
            </w:tcBorders>
            <w:shd w:val="clear" w:color="auto" w:fill="auto"/>
            <w:vAlign w:val="center"/>
            <w:hideMark/>
          </w:tcPr>
          <w:p w14:paraId="55DBA554"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CBC</w:t>
            </w:r>
          </w:p>
        </w:tc>
        <w:tc>
          <w:tcPr>
            <w:tcW w:w="1843" w:type="dxa"/>
            <w:tcBorders>
              <w:top w:val="nil"/>
              <w:left w:val="nil"/>
              <w:bottom w:val="single" w:sz="4" w:space="0" w:color="auto"/>
              <w:right w:val="single" w:sz="4" w:space="0" w:color="auto"/>
            </w:tcBorders>
            <w:shd w:val="clear" w:color="auto" w:fill="auto"/>
            <w:vAlign w:val="center"/>
            <w:hideMark/>
          </w:tcPr>
          <w:p w14:paraId="55DBA555"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55DBA556"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152,410</w:t>
            </w:r>
          </w:p>
        </w:tc>
        <w:tc>
          <w:tcPr>
            <w:tcW w:w="1276" w:type="dxa"/>
            <w:tcBorders>
              <w:top w:val="nil"/>
              <w:left w:val="nil"/>
              <w:bottom w:val="single" w:sz="4" w:space="0" w:color="auto"/>
              <w:right w:val="single" w:sz="4" w:space="0" w:color="auto"/>
            </w:tcBorders>
            <w:shd w:val="clear" w:color="auto" w:fill="auto"/>
            <w:vAlign w:val="center"/>
            <w:hideMark/>
          </w:tcPr>
          <w:p w14:paraId="55DBA557"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152,410</w:t>
            </w:r>
          </w:p>
        </w:tc>
        <w:tc>
          <w:tcPr>
            <w:tcW w:w="1701" w:type="dxa"/>
            <w:tcBorders>
              <w:top w:val="nil"/>
              <w:left w:val="nil"/>
              <w:bottom w:val="single" w:sz="4" w:space="0" w:color="auto"/>
              <w:right w:val="single" w:sz="4" w:space="0" w:color="auto"/>
            </w:tcBorders>
            <w:shd w:val="clear" w:color="auto" w:fill="auto"/>
            <w:vAlign w:val="center"/>
            <w:hideMark/>
          </w:tcPr>
          <w:p w14:paraId="55DBA558"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304,820</w:t>
            </w:r>
          </w:p>
        </w:tc>
      </w:tr>
      <w:tr w:rsidR="00EA4274" w14:paraId="55DBA560" w14:textId="77777777" w:rsidTr="009E4112">
        <w:trPr>
          <w:gridAfter w:val="1"/>
          <w:wAfter w:w="694" w:type="dxa"/>
          <w:trHeight w:val="855"/>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55DBA55A" w14:textId="77777777" w:rsidR="002E6CAA" w:rsidRPr="00E74D77" w:rsidRDefault="0095082E"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ICT (full year equivalent budgets)</w:t>
            </w:r>
          </w:p>
        </w:tc>
        <w:tc>
          <w:tcPr>
            <w:tcW w:w="1559" w:type="dxa"/>
            <w:tcBorders>
              <w:top w:val="nil"/>
              <w:left w:val="nil"/>
              <w:bottom w:val="single" w:sz="4" w:space="0" w:color="auto"/>
              <w:right w:val="single" w:sz="4" w:space="0" w:color="auto"/>
            </w:tcBorders>
            <w:shd w:val="clear" w:color="auto" w:fill="auto"/>
            <w:vAlign w:val="center"/>
            <w:hideMark/>
          </w:tcPr>
          <w:p w14:paraId="55DBA55B"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CBC/SRBC</w:t>
            </w:r>
          </w:p>
        </w:tc>
        <w:tc>
          <w:tcPr>
            <w:tcW w:w="1843" w:type="dxa"/>
            <w:tcBorders>
              <w:top w:val="nil"/>
              <w:left w:val="nil"/>
              <w:bottom w:val="single" w:sz="4" w:space="0" w:color="auto"/>
              <w:right w:val="single" w:sz="4" w:space="0" w:color="auto"/>
            </w:tcBorders>
            <w:shd w:val="clear" w:color="auto" w:fill="auto"/>
            <w:vAlign w:val="center"/>
            <w:hideMark/>
          </w:tcPr>
          <w:p w14:paraId="55DBA55C" w14:textId="77777777" w:rsidR="002E6CAA" w:rsidRPr="00E74D77" w:rsidRDefault="0095082E"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 except for Infrastucture Team 40/60</w:t>
            </w:r>
          </w:p>
        </w:tc>
        <w:tc>
          <w:tcPr>
            <w:tcW w:w="1275" w:type="dxa"/>
            <w:tcBorders>
              <w:top w:val="nil"/>
              <w:left w:val="nil"/>
              <w:bottom w:val="single" w:sz="4" w:space="0" w:color="auto"/>
              <w:right w:val="single" w:sz="4" w:space="0" w:color="auto"/>
            </w:tcBorders>
            <w:shd w:val="clear" w:color="auto" w:fill="auto"/>
            <w:vAlign w:val="center"/>
            <w:hideMark/>
          </w:tcPr>
          <w:p w14:paraId="55DBA55D"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432,194</w:t>
            </w:r>
          </w:p>
        </w:tc>
        <w:tc>
          <w:tcPr>
            <w:tcW w:w="1276" w:type="dxa"/>
            <w:tcBorders>
              <w:top w:val="nil"/>
              <w:left w:val="nil"/>
              <w:bottom w:val="single" w:sz="4" w:space="0" w:color="auto"/>
              <w:right w:val="single" w:sz="4" w:space="0" w:color="auto"/>
            </w:tcBorders>
            <w:shd w:val="clear" w:color="auto" w:fill="auto"/>
            <w:vAlign w:val="center"/>
            <w:hideMark/>
          </w:tcPr>
          <w:p w14:paraId="55DBA55E"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498,834</w:t>
            </w:r>
          </w:p>
        </w:tc>
        <w:tc>
          <w:tcPr>
            <w:tcW w:w="1701" w:type="dxa"/>
            <w:tcBorders>
              <w:top w:val="nil"/>
              <w:left w:val="nil"/>
              <w:bottom w:val="single" w:sz="4" w:space="0" w:color="auto"/>
              <w:right w:val="single" w:sz="4" w:space="0" w:color="auto"/>
            </w:tcBorders>
            <w:shd w:val="clear" w:color="auto" w:fill="auto"/>
            <w:vAlign w:val="center"/>
            <w:hideMark/>
          </w:tcPr>
          <w:p w14:paraId="55DBA55F" w14:textId="77777777" w:rsidR="002E6CAA" w:rsidRPr="00E74D77" w:rsidRDefault="0095082E"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931,028</w:t>
            </w:r>
          </w:p>
        </w:tc>
      </w:tr>
      <w:tr w:rsidR="00EA4274" w14:paraId="55DBA567"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000000" w:fill="BFBFBF"/>
            <w:vAlign w:val="center"/>
            <w:hideMark/>
          </w:tcPr>
          <w:p w14:paraId="55DBA561" w14:textId="77777777" w:rsidR="002E6CAA" w:rsidRPr="00E74D77" w:rsidRDefault="0095082E" w:rsidP="008B2184">
            <w:pPr>
              <w:spacing w:after="0" w:line="240" w:lineRule="auto"/>
              <w:rPr>
                <w:rFonts w:ascii="Arial" w:eastAsia="Times New Roman" w:hAnsi="Arial" w:cs="Arial"/>
                <w:b/>
                <w:bCs/>
                <w:lang w:eastAsia="en-GB"/>
              </w:rPr>
            </w:pPr>
            <w:r w:rsidRPr="00E74D77">
              <w:rPr>
                <w:rFonts w:ascii="Arial" w:eastAsia="Times New Roman" w:hAnsi="Arial" w:cs="Arial"/>
                <w:b/>
                <w:bCs/>
                <w:lang w:eastAsia="en-GB"/>
              </w:rPr>
              <w:t> </w:t>
            </w:r>
          </w:p>
        </w:tc>
        <w:tc>
          <w:tcPr>
            <w:tcW w:w="1559" w:type="dxa"/>
            <w:tcBorders>
              <w:top w:val="nil"/>
              <w:left w:val="nil"/>
              <w:bottom w:val="single" w:sz="4" w:space="0" w:color="auto"/>
              <w:right w:val="single" w:sz="4" w:space="0" w:color="auto"/>
            </w:tcBorders>
            <w:shd w:val="clear" w:color="000000" w:fill="BFBFBF"/>
            <w:vAlign w:val="center"/>
            <w:hideMark/>
          </w:tcPr>
          <w:p w14:paraId="55DBA562" w14:textId="77777777" w:rsidR="002E6CAA" w:rsidRPr="00E74D77" w:rsidRDefault="0095082E"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 </w:t>
            </w:r>
          </w:p>
        </w:tc>
        <w:tc>
          <w:tcPr>
            <w:tcW w:w="1843" w:type="dxa"/>
            <w:tcBorders>
              <w:top w:val="nil"/>
              <w:left w:val="nil"/>
              <w:bottom w:val="single" w:sz="4" w:space="0" w:color="auto"/>
              <w:right w:val="single" w:sz="4" w:space="0" w:color="auto"/>
            </w:tcBorders>
            <w:shd w:val="clear" w:color="000000" w:fill="BFBFBF"/>
            <w:vAlign w:val="center"/>
            <w:hideMark/>
          </w:tcPr>
          <w:p w14:paraId="55DBA563" w14:textId="77777777" w:rsidR="002E6CAA" w:rsidRPr="00E74D77" w:rsidRDefault="0095082E"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 </w:t>
            </w:r>
          </w:p>
        </w:tc>
        <w:tc>
          <w:tcPr>
            <w:tcW w:w="1275" w:type="dxa"/>
            <w:tcBorders>
              <w:top w:val="nil"/>
              <w:left w:val="nil"/>
              <w:bottom w:val="single" w:sz="4" w:space="0" w:color="auto"/>
              <w:right w:val="single" w:sz="4" w:space="0" w:color="auto"/>
            </w:tcBorders>
            <w:shd w:val="clear" w:color="000000" w:fill="BFBFBF"/>
            <w:vAlign w:val="center"/>
            <w:hideMark/>
          </w:tcPr>
          <w:p w14:paraId="55DBA564" w14:textId="77777777" w:rsidR="002E6CAA" w:rsidRPr="00E74D77" w:rsidRDefault="0095082E"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3,628,593</w:t>
            </w:r>
          </w:p>
        </w:tc>
        <w:tc>
          <w:tcPr>
            <w:tcW w:w="1276" w:type="dxa"/>
            <w:tcBorders>
              <w:top w:val="nil"/>
              <w:left w:val="nil"/>
              <w:bottom w:val="single" w:sz="4" w:space="0" w:color="auto"/>
              <w:right w:val="single" w:sz="4" w:space="0" w:color="auto"/>
            </w:tcBorders>
            <w:shd w:val="clear" w:color="000000" w:fill="BFBFBF"/>
            <w:vAlign w:val="center"/>
            <w:hideMark/>
          </w:tcPr>
          <w:p w14:paraId="55DBA565" w14:textId="77777777" w:rsidR="002E6CAA" w:rsidRPr="00E74D77" w:rsidRDefault="0095082E"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3,078,373</w:t>
            </w:r>
          </w:p>
        </w:tc>
        <w:tc>
          <w:tcPr>
            <w:tcW w:w="1701" w:type="dxa"/>
            <w:tcBorders>
              <w:top w:val="nil"/>
              <w:left w:val="nil"/>
              <w:bottom w:val="single" w:sz="4" w:space="0" w:color="auto"/>
              <w:right w:val="single" w:sz="4" w:space="0" w:color="auto"/>
            </w:tcBorders>
            <w:shd w:val="clear" w:color="000000" w:fill="BFBFBF"/>
            <w:vAlign w:val="center"/>
            <w:hideMark/>
          </w:tcPr>
          <w:p w14:paraId="55DBA566" w14:textId="77777777" w:rsidR="002E6CAA" w:rsidRPr="00E74D77" w:rsidRDefault="0095082E"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5,775,938</w:t>
            </w:r>
          </w:p>
        </w:tc>
      </w:tr>
    </w:tbl>
    <w:p w14:paraId="55DBA568" w14:textId="77777777" w:rsidR="002E6CAA" w:rsidRPr="00D962F3" w:rsidRDefault="00425003" w:rsidP="002E6CAA">
      <w:pPr>
        <w:rPr>
          <w:rFonts w:ascii="Arial" w:hAnsi="Arial" w:cs="Arial"/>
          <w:highlight w:val="yellow"/>
          <w:lang w:val="en-US"/>
        </w:rPr>
      </w:pPr>
    </w:p>
    <w:p w14:paraId="55DBA569" w14:textId="77777777" w:rsidR="002E6CAA" w:rsidRPr="005A5EEE" w:rsidRDefault="00425003" w:rsidP="002E6CAA">
      <w:pPr>
        <w:rPr>
          <w:rFonts w:ascii="Arial" w:hAnsi="Arial" w:cs="Arial"/>
          <w:lang w:val="en-US"/>
        </w:rPr>
      </w:pPr>
    </w:p>
    <w:p w14:paraId="55DBA56A" w14:textId="77777777" w:rsidR="002E6CAA" w:rsidRDefault="0095082E" w:rsidP="002E6CAA">
      <w:pPr>
        <w:pStyle w:val="ListParagraph"/>
        <w:numPr>
          <w:ilvl w:val="0"/>
          <w:numId w:val="21"/>
        </w:numPr>
        <w:jc w:val="both"/>
        <w:rPr>
          <w:rFonts w:ascii="Arial" w:hAnsi="Arial" w:cs="Arial"/>
          <w:lang w:val="en-US"/>
        </w:rPr>
      </w:pPr>
      <w:r w:rsidRPr="005A5EEE">
        <w:rPr>
          <w:rFonts w:ascii="Arial" w:hAnsi="Arial" w:cs="Arial"/>
          <w:lang w:val="en-US"/>
        </w:rPr>
        <w:t xml:space="preserve">The above table demonstrates the costing split for shared services across Chorley and South Ribble Councils, with most areas split 50:50 to reflect that staff within the service provide an equal service across both organisations. Where there is an identified need for one council but not the other, the split in costs can vary for example a charge of </w:t>
      </w:r>
      <w:r w:rsidRPr="005A5EEE">
        <w:rPr>
          <w:rFonts w:ascii="Arial" w:hAnsi="Arial" w:cs="Arial"/>
          <w:lang w:val="en-US"/>
        </w:rPr>
        <w:lastRenderedPageBreak/>
        <w:t xml:space="preserve">60:40 for Events to reflect the demand of the events programme to be delivered at each council. Some areas are charged 100% to Chorley whilst being hosted at South Ribble in order to ensure a balanced number of employees at each council. </w:t>
      </w:r>
    </w:p>
    <w:p w14:paraId="55DBA56B" w14:textId="77777777" w:rsidR="009E4112" w:rsidRDefault="00425003" w:rsidP="009E4112">
      <w:pPr>
        <w:jc w:val="both"/>
        <w:rPr>
          <w:rFonts w:ascii="Arial" w:hAnsi="Arial" w:cs="Arial"/>
          <w:lang w:val="en-US"/>
        </w:rPr>
      </w:pPr>
    </w:p>
    <w:p w14:paraId="55DBA56C" w14:textId="77777777" w:rsidR="009E4112" w:rsidRDefault="00425003" w:rsidP="00B4211F">
      <w:pPr>
        <w:rPr>
          <w:rFonts w:ascii="Arial" w:hAnsi="Arial" w:cs="Arial"/>
          <w:lang w:val="en-US"/>
        </w:rPr>
      </w:pPr>
    </w:p>
    <w:p w14:paraId="55DBA56D" w14:textId="77777777" w:rsidR="002E6CAA" w:rsidRDefault="0095082E" w:rsidP="00B4211F">
      <w:pPr>
        <w:rPr>
          <w:rFonts w:ascii="Arial" w:hAnsi="Arial" w:cs="Arial"/>
          <w:b/>
          <w:bCs/>
          <w:lang w:val="en-US"/>
        </w:rPr>
      </w:pPr>
      <w:r>
        <w:rPr>
          <w:rFonts w:ascii="Arial" w:hAnsi="Arial" w:cs="Arial"/>
          <w:b/>
          <w:bCs/>
          <w:lang w:val="en-US"/>
        </w:rPr>
        <w:t>Staff Satisfaction</w:t>
      </w:r>
    </w:p>
    <w:p w14:paraId="55DBA56E" w14:textId="77777777" w:rsidR="009E4112" w:rsidRDefault="00425003" w:rsidP="00B4211F">
      <w:pPr>
        <w:rPr>
          <w:rFonts w:ascii="Arial" w:hAnsi="Arial" w:cs="Arial"/>
          <w:lang w:val="en-US"/>
        </w:rPr>
      </w:pPr>
    </w:p>
    <w:p w14:paraId="55DBA56F" w14:textId="77777777" w:rsidR="002E6CAA" w:rsidRPr="002E6CAA" w:rsidRDefault="0095082E" w:rsidP="001A5374">
      <w:pPr>
        <w:pStyle w:val="ListParagraph"/>
        <w:numPr>
          <w:ilvl w:val="0"/>
          <w:numId w:val="21"/>
        </w:numPr>
        <w:jc w:val="both"/>
        <w:rPr>
          <w:rFonts w:ascii="Arial" w:hAnsi="Arial" w:cs="Arial"/>
          <w:lang w:val="en-US"/>
        </w:rPr>
      </w:pPr>
      <w:r w:rsidRPr="002E6CAA">
        <w:rPr>
          <w:rFonts w:ascii="Arial" w:hAnsi="Arial" w:cs="Arial"/>
          <w:lang w:val="en-US"/>
        </w:rPr>
        <w:t>Staf</w:t>
      </w:r>
      <w:r>
        <w:rPr>
          <w:rFonts w:ascii="Arial" w:hAnsi="Arial" w:cs="Arial"/>
          <w:lang w:val="en-US"/>
        </w:rPr>
        <w:t xml:space="preserve">f </w:t>
      </w:r>
      <w:r w:rsidRPr="002E6CAA">
        <w:rPr>
          <w:rFonts w:ascii="Arial" w:hAnsi="Arial" w:cs="Arial"/>
          <w:lang w:val="en-US"/>
        </w:rPr>
        <w:t xml:space="preserve">satisfaction within shared services has been measured for the second time following the satisfaction survey that was conducted in June 2020. The survey asks staff about understanding of shared services and their role, as well as providing the opportunity for written feedback around what has worked well in shared services and where staff could benefit from further support. </w:t>
      </w:r>
    </w:p>
    <w:p w14:paraId="55DBA570" w14:textId="77777777" w:rsidR="002E6CAA" w:rsidRDefault="00425003" w:rsidP="002E6CAA">
      <w:pPr>
        <w:pStyle w:val="ListParagraph"/>
        <w:ind w:left="424"/>
        <w:rPr>
          <w:rFonts w:ascii="Arial" w:hAnsi="Arial" w:cs="Arial"/>
          <w:lang w:val="en-US"/>
        </w:rPr>
      </w:pPr>
    </w:p>
    <w:tbl>
      <w:tblPr>
        <w:tblStyle w:val="TableGrid"/>
        <w:tblpPr w:leftFromText="180" w:rightFromText="180" w:vertAnchor="text" w:horzAnchor="page" w:tblpX="2536" w:tblpY="1007"/>
        <w:tblW w:w="0" w:type="auto"/>
        <w:tblLook w:val="04A0" w:firstRow="1" w:lastRow="0" w:firstColumn="1" w:lastColumn="0" w:noHBand="0" w:noVBand="1"/>
      </w:tblPr>
      <w:tblGrid>
        <w:gridCol w:w="4248"/>
        <w:gridCol w:w="1417"/>
        <w:gridCol w:w="1656"/>
      </w:tblGrid>
      <w:tr w:rsidR="00EA4274" w14:paraId="55DBA574" w14:textId="77777777" w:rsidTr="00B4211F">
        <w:trPr>
          <w:trHeight w:val="232"/>
        </w:trPr>
        <w:tc>
          <w:tcPr>
            <w:tcW w:w="4248" w:type="dxa"/>
          </w:tcPr>
          <w:p w14:paraId="55DBA571" w14:textId="77777777" w:rsidR="00B4211F" w:rsidRPr="00894801" w:rsidRDefault="00425003" w:rsidP="00B4211F">
            <w:pPr>
              <w:rPr>
                <w:rFonts w:ascii="Arial" w:hAnsi="Arial" w:cs="Arial"/>
                <w:b/>
                <w:bCs/>
                <w:lang w:val="en-US"/>
              </w:rPr>
            </w:pPr>
          </w:p>
        </w:tc>
        <w:tc>
          <w:tcPr>
            <w:tcW w:w="1417" w:type="dxa"/>
          </w:tcPr>
          <w:p w14:paraId="55DBA572" w14:textId="77777777" w:rsidR="00B4211F" w:rsidRPr="00894801" w:rsidRDefault="0095082E" w:rsidP="00B4211F">
            <w:pPr>
              <w:rPr>
                <w:rFonts w:ascii="Arial" w:hAnsi="Arial" w:cs="Arial"/>
                <w:b/>
                <w:bCs/>
                <w:lang w:val="en-US"/>
              </w:rPr>
            </w:pPr>
            <w:r w:rsidRPr="00894801">
              <w:rPr>
                <w:rFonts w:ascii="Arial" w:hAnsi="Arial" w:cs="Arial"/>
                <w:b/>
                <w:bCs/>
                <w:lang w:val="en-US"/>
              </w:rPr>
              <w:t>June 2021</w:t>
            </w:r>
          </w:p>
        </w:tc>
        <w:tc>
          <w:tcPr>
            <w:tcW w:w="1656" w:type="dxa"/>
          </w:tcPr>
          <w:p w14:paraId="55DBA573" w14:textId="77777777" w:rsidR="00B4211F" w:rsidRPr="00894801" w:rsidRDefault="0095082E" w:rsidP="00B4211F">
            <w:pPr>
              <w:rPr>
                <w:rFonts w:ascii="Arial" w:hAnsi="Arial" w:cs="Arial"/>
                <w:b/>
                <w:bCs/>
                <w:lang w:val="en-US"/>
              </w:rPr>
            </w:pPr>
            <w:r w:rsidRPr="00894801">
              <w:rPr>
                <w:rFonts w:ascii="Arial" w:hAnsi="Arial" w:cs="Arial"/>
                <w:b/>
                <w:bCs/>
                <w:lang w:val="en-US"/>
              </w:rPr>
              <w:t>Nov 2021</w:t>
            </w:r>
          </w:p>
        </w:tc>
      </w:tr>
      <w:tr w:rsidR="00EA4274" w14:paraId="55DBA578" w14:textId="77777777" w:rsidTr="00B4211F">
        <w:trPr>
          <w:trHeight w:val="931"/>
        </w:trPr>
        <w:tc>
          <w:tcPr>
            <w:tcW w:w="4248" w:type="dxa"/>
          </w:tcPr>
          <w:p w14:paraId="55DBA575" w14:textId="640B7F31" w:rsidR="00B4211F" w:rsidRPr="00894801" w:rsidRDefault="0095082E" w:rsidP="00B4211F">
            <w:pPr>
              <w:rPr>
                <w:rFonts w:ascii="Arial" w:hAnsi="Arial" w:cs="Arial"/>
                <w:lang w:val="en-US"/>
              </w:rPr>
            </w:pPr>
            <w:r>
              <w:rPr>
                <w:rFonts w:ascii="Arial" w:hAnsi="Arial" w:cs="Arial"/>
                <w:lang w:val="en-US"/>
              </w:rPr>
              <w:t>Understanding how service</w:t>
            </w:r>
            <w:r w:rsidR="00151D60">
              <w:rPr>
                <w:rFonts w:ascii="Arial" w:hAnsi="Arial" w:cs="Arial"/>
                <w:lang w:val="en-US"/>
              </w:rPr>
              <w:t xml:space="preserve"> </w:t>
            </w:r>
            <w:r>
              <w:rPr>
                <w:rFonts w:ascii="Arial" w:hAnsi="Arial" w:cs="Arial"/>
                <w:lang w:val="en-US"/>
              </w:rPr>
              <w:t xml:space="preserve">contributes to delivering priorities of both councils </w:t>
            </w:r>
          </w:p>
        </w:tc>
        <w:tc>
          <w:tcPr>
            <w:tcW w:w="1417" w:type="dxa"/>
          </w:tcPr>
          <w:p w14:paraId="55DBA576" w14:textId="77777777" w:rsidR="00B4211F" w:rsidRPr="00894801" w:rsidRDefault="0095082E" w:rsidP="00B4211F">
            <w:pPr>
              <w:rPr>
                <w:rFonts w:ascii="Arial" w:hAnsi="Arial" w:cs="Arial"/>
                <w:lang w:val="en-US"/>
              </w:rPr>
            </w:pPr>
            <w:r>
              <w:rPr>
                <w:rFonts w:ascii="Arial" w:hAnsi="Arial" w:cs="Arial"/>
                <w:lang w:val="en-US"/>
              </w:rPr>
              <w:t>88%</w:t>
            </w:r>
          </w:p>
        </w:tc>
        <w:tc>
          <w:tcPr>
            <w:tcW w:w="1656" w:type="dxa"/>
          </w:tcPr>
          <w:p w14:paraId="55DBA577" w14:textId="77777777" w:rsidR="00B4211F" w:rsidRPr="00894801" w:rsidRDefault="0095082E" w:rsidP="00B4211F">
            <w:pPr>
              <w:rPr>
                <w:rFonts w:ascii="Arial" w:hAnsi="Arial" w:cs="Arial"/>
                <w:lang w:val="en-US"/>
              </w:rPr>
            </w:pPr>
            <w:r>
              <w:rPr>
                <w:rFonts w:ascii="Arial" w:hAnsi="Arial" w:cs="Arial"/>
                <w:lang w:val="en-US"/>
              </w:rPr>
              <w:t>91%</w:t>
            </w:r>
          </w:p>
        </w:tc>
      </w:tr>
      <w:tr w:rsidR="00EA4274" w14:paraId="55DBA57C" w14:textId="77777777" w:rsidTr="00B4211F">
        <w:trPr>
          <w:trHeight w:val="630"/>
        </w:trPr>
        <w:tc>
          <w:tcPr>
            <w:tcW w:w="4248" w:type="dxa"/>
          </w:tcPr>
          <w:p w14:paraId="55DBA579" w14:textId="538028E7" w:rsidR="00B4211F" w:rsidRPr="00894801" w:rsidRDefault="0095082E" w:rsidP="00B4211F">
            <w:pPr>
              <w:rPr>
                <w:rFonts w:ascii="Arial" w:hAnsi="Arial" w:cs="Arial"/>
                <w:lang w:val="en-US"/>
              </w:rPr>
            </w:pPr>
            <w:r w:rsidRPr="00894801">
              <w:rPr>
                <w:rFonts w:ascii="Arial" w:hAnsi="Arial" w:cs="Arial"/>
                <w:lang w:val="en-US"/>
              </w:rPr>
              <w:t xml:space="preserve">Understanding </w:t>
            </w:r>
            <w:r w:rsidR="00151D60">
              <w:rPr>
                <w:rFonts w:ascii="Arial" w:hAnsi="Arial" w:cs="Arial"/>
                <w:lang w:val="en-US"/>
              </w:rPr>
              <w:t>t</w:t>
            </w:r>
            <w:r w:rsidRPr="00894801">
              <w:rPr>
                <w:rFonts w:ascii="Arial" w:hAnsi="Arial" w:cs="Arial"/>
                <w:lang w:val="en-US"/>
              </w:rPr>
              <w:t xml:space="preserve">eam’s </w:t>
            </w:r>
            <w:r w:rsidR="00151D60">
              <w:rPr>
                <w:rFonts w:ascii="Arial" w:hAnsi="Arial" w:cs="Arial"/>
                <w:lang w:val="en-US"/>
              </w:rPr>
              <w:t>r</w:t>
            </w:r>
            <w:r w:rsidRPr="00894801">
              <w:rPr>
                <w:rFonts w:ascii="Arial" w:hAnsi="Arial" w:cs="Arial"/>
                <w:lang w:val="en-US"/>
              </w:rPr>
              <w:t xml:space="preserve">ole in </w:t>
            </w:r>
            <w:r w:rsidR="00151D60">
              <w:rPr>
                <w:rFonts w:ascii="Arial" w:hAnsi="Arial" w:cs="Arial"/>
                <w:lang w:val="en-US"/>
              </w:rPr>
              <w:t>s</w:t>
            </w:r>
            <w:r w:rsidRPr="00894801">
              <w:rPr>
                <w:rFonts w:ascii="Arial" w:hAnsi="Arial" w:cs="Arial"/>
                <w:lang w:val="en-US"/>
              </w:rPr>
              <w:t xml:space="preserve">hared </w:t>
            </w:r>
            <w:r w:rsidR="00151D60">
              <w:rPr>
                <w:rFonts w:ascii="Arial" w:hAnsi="Arial" w:cs="Arial"/>
                <w:lang w:val="en-US"/>
              </w:rPr>
              <w:t>s</w:t>
            </w:r>
            <w:r w:rsidRPr="00894801">
              <w:rPr>
                <w:rFonts w:ascii="Arial" w:hAnsi="Arial" w:cs="Arial"/>
                <w:lang w:val="en-US"/>
              </w:rPr>
              <w:t>ervices</w:t>
            </w:r>
          </w:p>
        </w:tc>
        <w:tc>
          <w:tcPr>
            <w:tcW w:w="1417" w:type="dxa"/>
          </w:tcPr>
          <w:p w14:paraId="55DBA57A" w14:textId="77777777" w:rsidR="00B4211F" w:rsidRPr="00894801" w:rsidRDefault="0095082E" w:rsidP="00B4211F">
            <w:pPr>
              <w:rPr>
                <w:rFonts w:ascii="Arial" w:hAnsi="Arial" w:cs="Arial"/>
                <w:lang w:val="en-US"/>
              </w:rPr>
            </w:pPr>
            <w:r>
              <w:rPr>
                <w:rFonts w:ascii="Arial" w:hAnsi="Arial" w:cs="Arial"/>
                <w:lang w:val="en-US"/>
              </w:rPr>
              <w:t>84%</w:t>
            </w:r>
          </w:p>
        </w:tc>
        <w:tc>
          <w:tcPr>
            <w:tcW w:w="1656" w:type="dxa"/>
          </w:tcPr>
          <w:p w14:paraId="55DBA57B" w14:textId="77777777" w:rsidR="00B4211F" w:rsidRPr="00894801" w:rsidRDefault="0095082E" w:rsidP="00B4211F">
            <w:pPr>
              <w:rPr>
                <w:rFonts w:ascii="Arial" w:hAnsi="Arial" w:cs="Arial"/>
                <w:lang w:val="en-US"/>
              </w:rPr>
            </w:pPr>
            <w:r>
              <w:rPr>
                <w:rFonts w:ascii="Arial" w:hAnsi="Arial" w:cs="Arial"/>
                <w:lang w:val="en-US"/>
              </w:rPr>
              <w:t>91%</w:t>
            </w:r>
          </w:p>
        </w:tc>
      </w:tr>
      <w:tr w:rsidR="00EA4274" w14:paraId="55DBA580" w14:textId="77777777" w:rsidTr="00B4211F">
        <w:trPr>
          <w:trHeight w:val="698"/>
        </w:trPr>
        <w:tc>
          <w:tcPr>
            <w:tcW w:w="4248" w:type="dxa"/>
          </w:tcPr>
          <w:p w14:paraId="55DBA57D" w14:textId="0FD43DA3" w:rsidR="00B4211F" w:rsidRPr="00894801" w:rsidRDefault="0095082E" w:rsidP="00B4211F">
            <w:pPr>
              <w:rPr>
                <w:rFonts w:ascii="Arial" w:hAnsi="Arial" w:cs="Arial"/>
                <w:lang w:val="en-US"/>
              </w:rPr>
            </w:pPr>
            <w:r w:rsidRPr="00894801">
              <w:rPr>
                <w:rFonts w:ascii="Arial" w:hAnsi="Arial" w:cs="Arial"/>
                <w:lang w:val="en-US"/>
              </w:rPr>
              <w:t xml:space="preserve">Having the skills/training needed </w:t>
            </w:r>
            <w:r w:rsidR="00151D60">
              <w:rPr>
                <w:rFonts w:ascii="Arial" w:hAnsi="Arial" w:cs="Arial"/>
                <w:lang w:val="en-US"/>
              </w:rPr>
              <w:t xml:space="preserve">for role </w:t>
            </w:r>
          </w:p>
        </w:tc>
        <w:tc>
          <w:tcPr>
            <w:tcW w:w="1417" w:type="dxa"/>
          </w:tcPr>
          <w:p w14:paraId="55DBA57E" w14:textId="77777777" w:rsidR="00B4211F" w:rsidRPr="00894801" w:rsidRDefault="0095082E" w:rsidP="00B4211F">
            <w:pPr>
              <w:rPr>
                <w:rFonts w:ascii="Arial" w:hAnsi="Arial" w:cs="Arial"/>
                <w:lang w:val="en-US"/>
              </w:rPr>
            </w:pPr>
            <w:r>
              <w:rPr>
                <w:rFonts w:ascii="Arial" w:hAnsi="Arial" w:cs="Arial"/>
                <w:lang w:val="en-US"/>
              </w:rPr>
              <w:t>94.6%</w:t>
            </w:r>
          </w:p>
        </w:tc>
        <w:tc>
          <w:tcPr>
            <w:tcW w:w="1656" w:type="dxa"/>
          </w:tcPr>
          <w:p w14:paraId="55DBA57F" w14:textId="77777777" w:rsidR="00B4211F" w:rsidRPr="00894801" w:rsidRDefault="0095082E" w:rsidP="00B4211F">
            <w:pPr>
              <w:rPr>
                <w:rFonts w:ascii="Arial" w:hAnsi="Arial" w:cs="Arial"/>
                <w:lang w:val="en-US"/>
              </w:rPr>
            </w:pPr>
            <w:r>
              <w:rPr>
                <w:rFonts w:ascii="Arial" w:hAnsi="Arial" w:cs="Arial"/>
                <w:lang w:val="en-US"/>
              </w:rPr>
              <w:t>96.4%</w:t>
            </w:r>
          </w:p>
        </w:tc>
      </w:tr>
      <w:tr w:rsidR="00151D60" w14:paraId="6150322E" w14:textId="77777777" w:rsidTr="00CC095E">
        <w:trPr>
          <w:trHeight w:val="566"/>
        </w:trPr>
        <w:tc>
          <w:tcPr>
            <w:tcW w:w="4248" w:type="dxa"/>
          </w:tcPr>
          <w:p w14:paraId="6A3F615B" w14:textId="7E158C1F" w:rsidR="00151D60" w:rsidRPr="00894801" w:rsidRDefault="00151D60" w:rsidP="00B4211F">
            <w:pPr>
              <w:rPr>
                <w:rFonts w:ascii="Arial" w:hAnsi="Arial" w:cs="Arial"/>
                <w:lang w:val="en-US"/>
              </w:rPr>
            </w:pPr>
            <w:r>
              <w:rPr>
                <w:rFonts w:ascii="Arial" w:hAnsi="Arial" w:cs="Arial"/>
                <w:lang w:val="en-US"/>
              </w:rPr>
              <w:t xml:space="preserve">Overall, satisfied in job </w:t>
            </w:r>
          </w:p>
        </w:tc>
        <w:tc>
          <w:tcPr>
            <w:tcW w:w="1417" w:type="dxa"/>
          </w:tcPr>
          <w:p w14:paraId="1C86C0F2" w14:textId="7CE28EC4" w:rsidR="00151D60" w:rsidRDefault="00151D60" w:rsidP="00B4211F">
            <w:pPr>
              <w:rPr>
                <w:rFonts w:ascii="Arial" w:hAnsi="Arial" w:cs="Arial"/>
                <w:lang w:val="en-US"/>
              </w:rPr>
            </w:pPr>
            <w:r>
              <w:rPr>
                <w:rFonts w:ascii="Arial" w:hAnsi="Arial" w:cs="Arial"/>
                <w:lang w:val="en-US"/>
              </w:rPr>
              <w:t>75%</w:t>
            </w:r>
          </w:p>
        </w:tc>
        <w:tc>
          <w:tcPr>
            <w:tcW w:w="1656" w:type="dxa"/>
          </w:tcPr>
          <w:p w14:paraId="78A4B211" w14:textId="7937690B" w:rsidR="00151D60" w:rsidRDefault="00151D60" w:rsidP="00B4211F">
            <w:pPr>
              <w:rPr>
                <w:rFonts w:ascii="Arial" w:hAnsi="Arial" w:cs="Arial"/>
                <w:lang w:val="en-US"/>
              </w:rPr>
            </w:pPr>
            <w:r>
              <w:rPr>
                <w:rFonts w:ascii="Arial" w:hAnsi="Arial" w:cs="Arial"/>
                <w:lang w:val="en-US"/>
              </w:rPr>
              <w:t xml:space="preserve">78.5% </w:t>
            </w:r>
          </w:p>
        </w:tc>
      </w:tr>
    </w:tbl>
    <w:p w14:paraId="55DBA581" w14:textId="77777777" w:rsidR="002E6CAA" w:rsidRDefault="0095082E" w:rsidP="002E6CAA">
      <w:pPr>
        <w:pStyle w:val="ListParagraph"/>
        <w:numPr>
          <w:ilvl w:val="0"/>
          <w:numId w:val="21"/>
        </w:numPr>
        <w:rPr>
          <w:rFonts w:ascii="Arial" w:hAnsi="Arial" w:cs="Arial"/>
          <w:lang w:val="en-US"/>
        </w:rPr>
      </w:pPr>
      <w:r w:rsidRPr="002E6CAA">
        <w:rPr>
          <w:rFonts w:ascii="Arial" w:hAnsi="Arial" w:cs="Arial"/>
          <w:lang w:val="en-US"/>
        </w:rPr>
        <w:t xml:space="preserve">Below shows a comparison of the responses between the two </w:t>
      </w:r>
      <w:r>
        <w:rPr>
          <w:rFonts w:ascii="Arial" w:hAnsi="Arial" w:cs="Arial"/>
          <w:lang w:val="en-US"/>
        </w:rPr>
        <w:t xml:space="preserve">surveys: </w:t>
      </w:r>
    </w:p>
    <w:p w14:paraId="55DBA582" w14:textId="77777777" w:rsidR="00B4211F" w:rsidRPr="002E6CAA" w:rsidRDefault="00425003" w:rsidP="00B4211F">
      <w:pPr>
        <w:pStyle w:val="ListParagraph"/>
        <w:rPr>
          <w:rFonts w:ascii="Arial" w:hAnsi="Arial" w:cs="Arial"/>
          <w:lang w:val="en-US"/>
        </w:rPr>
      </w:pPr>
    </w:p>
    <w:p w14:paraId="55DBA583" w14:textId="77777777" w:rsidR="002E6CAA" w:rsidRPr="001E3AE3" w:rsidRDefault="0095082E" w:rsidP="002E6CAA">
      <w:pPr>
        <w:rPr>
          <w:rFonts w:ascii="Arial" w:hAnsi="Arial" w:cs="Arial"/>
          <w:lang w:val="en-US"/>
        </w:rPr>
      </w:pPr>
      <w:r w:rsidRPr="00894801">
        <w:rPr>
          <w:rFonts w:ascii="Arial" w:hAnsi="Arial" w:cs="Arial"/>
          <w:lang w:val="en-US"/>
        </w:rPr>
        <w:br/>
      </w:r>
      <w:r>
        <w:rPr>
          <w:rFonts w:ascii="Arial" w:hAnsi="Arial" w:cs="Arial"/>
          <w:lang w:val="en-US"/>
        </w:rPr>
        <w:br/>
      </w:r>
    </w:p>
    <w:p w14:paraId="55DBA584" w14:textId="77777777" w:rsidR="002E6CAA" w:rsidRDefault="00425003" w:rsidP="002E6CAA">
      <w:pPr>
        <w:rPr>
          <w:rFonts w:ascii="Arial" w:hAnsi="Arial" w:cs="Arial"/>
          <w:lang w:val="en-US"/>
        </w:rPr>
      </w:pPr>
    </w:p>
    <w:p w14:paraId="55DBA585" w14:textId="77777777" w:rsidR="002E6CAA" w:rsidRDefault="00425003" w:rsidP="002E6CAA">
      <w:pPr>
        <w:rPr>
          <w:rFonts w:ascii="Arial" w:hAnsi="Arial" w:cs="Arial"/>
          <w:lang w:val="en-US"/>
        </w:rPr>
      </w:pPr>
    </w:p>
    <w:p w14:paraId="55DBA586" w14:textId="77777777" w:rsidR="001A5374" w:rsidRDefault="00425003" w:rsidP="002E6CAA">
      <w:pPr>
        <w:rPr>
          <w:rFonts w:ascii="Arial" w:hAnsi="Arial" w:cs="Arial"/>
          <w:lang w:val="en-US"/>
        </w:rPr>
      </w:pPr>
    </w:p>
    <w:p w14:paraId="55DBA587" w14:textId="77777777" w:rsidR="001A5374" w:rsidRDefault="00425003" w:rsidP="002E6CAA">
      <w:pPr>
        <w:rPr>
          <w:rFonts w:ascii="Arial" w:hAnsi="Arial" w:cs="Arial"/>
          <w:lang w:val="en-US"/>
        </w:rPr>
      </w:pPr>
    </w:p>
    <w:p w14:paraId="55DBA588" w14:textId="77777777" w:rsidR="001A5374" w:rsidRDefault="00425003" w:rsidP="002E6CAA">
      <w:pPr>
        <w:rPr>
          <w:rFonts w:ascii="Arial" w:hAnsi="Arial" w:cs="Arial"/>
          <w:lang w:val="en-US"/>
        </w:rPr>
      </w:pPr>
    </w:p>
    <w:p w14:paraId="55DBA589" w14:textId="6791263F" w:rsidR="001A5374" w:rsidRDefault="00425003" w:rsidP="002E6CAA">
      <w:pPr>
        <w:rPr>
          <w:rFonts w:ascii="Arial" w:hAnsi="Arial" w:cs="Arial"/>
          <w:lang w:val="en-US"/>
        </w:rPr>
      </w:pPr>
    </w:p>
    <w:p w14:paraId="467523F7" w14:textId="77777777" w:rsidR="00151D60" w:rsidRDefault="00151D60" w:rsidP="002E6CAA">
      <w:pPr>
        <w:rPr>
          <w:rFonts w:ascii="Arial" w:hAnsi="Arial" w:cs="Arial"/>
          <w:lang w:val="en-US"/>
        </w:rPr>
      </w:pPr>
    </w:p>
    <w:p w14:paraId="55DBA58A" w14:textId="77777777" w:rsidR="002E6CAA" w:rsidRPr="002E6CAA" w:rsidRDefault="0095082E" w:rsidP="001A5374">
      <w:pPr>
        <w:pStyle w:val="ListParagraph"/>
        <w:numPr>
          <w:ilvl w:val="0"/>
          <w:numId w:val="21"/>
        </w:numPr>
        <w:jc w:val="both"/>
        <w:rPr>
          <w:rFonts w:ascii="Arial" w:hAnsi="Arial" w:cs="Arial"/>
          <w:lang w:val="en-US"/>
        </w:rPr>
      </w:pPr>
      <w:r w:rsidRPr="002E6CAA">
        <w:rPr>
          <w:rFonts w:ascii="Arial" w:hAnsi="Arial" w:cs="Arial"/>
          <w:lang w:val="en-US"/>
        </w:rPr>
        <w:t xml:space="preserve">Results showed an improvement in </w:t>
      </w:r>
      <w:r>
        <w:rPr>
          <w:rFonts w:ascii="Arial" w:hAnsi="Arial" w:cs="Arial"/>
          <w:lang w:val="en-US"/>
        </w:rPr>
        <w:t>employees’</w:t>
      </w:r>
      <w:r w:rsidRPr="002E6CAA">
        <w:rPr>
          <w:rFonts w:ascii="Arial" w:hAnsi="Arial" w:cs="Arial"/>
          <w:lang w:val="en-US"/>
        </w:rPr>
        <w:t xml:space="preserve"> understanding of their role and wider service, with  91% of staff agreeing that they understand the role of their team in shared services and how their service contributes to the priorities of both councils.  These show improvements from the previous survey and indicate that the work to embed shared services over the last 6 months has helped </w:t>
      </w:r>
      <w:r>
        <w:rPr>
          <w:rFonts w:ascii="Arial" w:hAnsi="Arial" w:cs="Arial"/>
          <w:lang w:val="en-US"/>
        </w:rPr>
        <w:t xml:space="preserve">to </w:t>
      </w:r>
      <w:r w:rsidRPr="002E6CAA">
        <w:rPr>
          <w:rFonts w:ascii="Arial" w:hAnsi="Arial" w:cs="Arial"/>
          <w:lang w:val="en-US"/>
        </w:rPr>
        <w:t>solidify understanding among Shared Services Staff. Areas where staff feel that they do not have a full understanding, include in services that are not fully shared or in</w:t>
      </w:r>
      <w:r>
        <w:rPr>
          <w:rFonts w:ascii="Arial" w:hAnsi="Arial" w:cs="Arial"/>
          <w:lang w:val="en-US"/>
        </w:rPr>
        <w:t xml:space="preserve"> newly shared teams. </w:t>
      </w:r>
      <w:r w:rsidRPr="002E6CAA">
        <w:rPr>
          <w:rFonts w:ascii="Arial" w:hAnsi="Arial" w:cs="Arial"/>
          <w:lang w:val="en-US"/>
        </w:rPr>
        <w:br/>
      </w:r>
    </w:p>
    <w:p w14:paraId="55DBA58B" w14:textId="77777777" w:rsidR="00A749DA" w:rsidRDefault="0095082E" w:rsidP="00A749DA">
      <w:pPr>
        <w:pStyle w:val="ListParagraph"/>
        <w:numPr>
          <w:ilvl w:val="0"/>
          <w:numId w:val="21"/>
        </w:numPr>
        <w:jc w:val="both"/>
        <w:rPr>
          <w:rFonts w:ascii="Arial" w:hAnsi="Arial" w:cs="Arial"/>
          <w:lang w:val="en-US"/>
        </w:rPr>
      </w:pPr>
      <w:r>
        <w:rPr>
          <w:rFonts w:ascii="Arial" w:hAnsi="Arial" w:cs="Arial"/>
          <w:lang w:val="en-US"/>
        </w:rPr>
        <w:t>Most staff feel that they have the skills and knowledge needed for their role, with 96.4% either agreeing or strongly agreeing with the statement. This is another improvement from the previous survey and reflects the continued identification of any training needs</w:t>
      </w:r>
    </w:p>
    <w:p w14:paraId="55DBA58C" w14:textId="77777777" w:rsidR="002E6CAA" w:rsidRPr="00A749DA" w:rsidRDefault="0095082E" w:rsidP="00A749DA">
      <w:pPr>
        <w:pStyle w:val="ListParagraph"/>
        <w:rPr>
          <w:rFonts w:ascii="Arial" w:hAnsi="Arial" w:cs="Arial"/>
          <w:lang w:val="en-US"/>
        </w:rPr>
      </w:pPr>
      <w:r w:rsidRPr="00A749DA">
        <w:rPr>
          <w:rFonts w:ascii="Arial" w:hAnsi="Arial" w:cs="Arial"/>
          <w:lang w:val="en-US"/>
        </w:rPr>
        <w:t xml:space="preserve">through shared services development discussions. </w:t>
      </w:r>
      <w:r w:rsidRPr="00A749DA">
        <w:rPr>
          <w:rFonts w:ascii="Arial" w:hAnsi="Arial" w:cs="Arial"/>
          <w:lang w:val="en-US"/>
        </w:rPr>
        <w:br/>
      </w:r>
    </w:p>
    <w:p w14:paraId="55DBA58D" w14:textId="77777777" w:rsidR="002E6CAA" w:rsidRPr="00A749DA" w:rsidRDefault="0095082E" w:rsidP="00A749DA">
      <w:pPr>
        <w:pStyle w:val="ListParagraph"/>
        <w:numPr>
          <w:ilvl w:val="0"/>
          <w:numId w:val="21"/>
        </w:numPr>
        <w:rPr>
          <w:rFonts w:ascii="Arial" w:hAnsi="Arial" w:cs="Arial"/>
          <w:lang w:val="en-US"/>
        </w:rPr>
      </w:pPr>
      <w:r w:rsidRPr="002E6CAA">
        <w:rPr>
          <w:rFonts w:ascii="Arial" w:hAnsi="Arial" w:cs="Arial"/>
          <w:lang w:val="en-US"/>
        </w:rPr>
        <w:t xml:space="preserve">Overall, the survey </w:t>
      </w:r>
      <w:r>
        <w:rPr>
          <w:rFonts w:ascii="Arial" w:hAnsi="Arial" w:cs="Arial"/>
          <w:lang w:val="en-US"/>
        </w:rPr>
        <w:t>demonstrates</w:t>
      </w:r>
      <w:r w:rsidRPr="002E6CAA">
        <w:rPr>
          <w:rFonts w:ascii="Arial" w:hAnsi="Arial" w:cs="Arial"/>
          <w:lang w:val="en-US"/>
        </w:rPr>
        <w:t xml:space="preserve"> high levels of satisfaction across shared services</w:t>
      </w:r>
      <w:r>
        <w:rPr>
          <w:rFonts w:ascii="Arial" w:hAnsi="Arial" w:cs="Arial"/>
          <w:lang w:val="en-US"/>
        </w:rPr>
        <w:t xml:space="preserve"> and s</w:t>
      </w:r>
      <w:r w:rsidRPr="00A749DA">
        <w:rPr>
          <w:rFonts w:ascii="Arial" w:hAnsi="Arial" w:cs="Arial"/>
          <w:lang w:val="en-US"/>
        </w:rPr>
        <w:t>ome of the positive feedback around the experience of working in shared services includes:</w:t>
      </w:r>
      <w:r w:rsidRPr="00A749DA">
        <w:rPr>
          <w:rFonts w:ascii="Arial" w:hAnsi="Arial" w:cs="Arial"/>
          <w:lang w:val="en-US"/>
        </w:rPr>
        <w:br/>
      </w:r>
    </w:p>
    <w:p w14:paraId="55DBA58E" w14:textId="77777777" w:rsidR="002E6CAA" w:rsidRDefault="0095082E" w:rsidP="002E6CAA">
      <w:pPr>
        <w:pStyle w:val="ListParagraph"/>
        <w:numPr>
          <w:ilvl w:val="0"/>
          <w:numId w:val="18"/>
        </w:numPr>
        <w:rPr>
          <w:rFonts w:ascii="Arial" w:hAnsi="Arial" w:cs="Arial"/>
        </w:rPr>
      </w:pPr>
      <w:r>
        <w:rPr>
          <w:rFonts w:ascii="Arial" w:hAnsi="Arial" w:cs="Arial"/>
        </w:rPr>
        <w:t xml:space="preserve">Opportunities to share expertise and best practice to maintain our continual desire for improvement. </w:t>
      </w:r>
    </w:p>
    <w:p w14:paraId="55DBA58F" w14:textId="77777777" w:rsidR="002E6CAA" w:rsidRDefault="0095082E" w:rsidP="002E6CAA">
      <w:pPr>
        <w:pStyle w:val="ListParagraph"/>
        <w:numPr>
          <w:ilvl w:val="0"/>
          <w:numId w:val="18"/>
        </w:numPr>
        <w:rPr>
          <w:rFonts w:ascii="Arial" w:hAnsi="Arial" w:cs="Arial"/>
        </w:rPr>
      </w:pPr>
      <w:r>
        <w:rPr>
          <w:rFonts w:ascii="Arial" w:hAnsi="Arial" w:cs="Arial"/>
        </w:rPr>
        <w:t>Shared resources allowing for improved efficiency and satisfaction.</w:t>
      </w:r>
    </w:p>
    <w:p w14:paraId="55DBA590" w14:textId="77777777" w:rsidR="002E6CAA" w:rsidRDefault="0095082E" w:rsidP="002E6CAA">
      <w:pPr>
        <w:pStyle w:val="ListParagraph"/>
        <w:numPr>
          <w:ilvl w:val="0"/>
          <w:numId w:val="18"/>
        </w:numPr>
        <w:rPr>
          <w:rFonts w:ascii="Arial" w:hAnsi="Arial" w:cs="Arial"/>
        </w:rPr>
      </w:pPr>
      <w:r>
        <w:rPr>
          <w:rFonts w:ascii="Arial" w:hAnsi="Arial" w:cs="Arial"/>
        </w:rPr>
        <w:t xml:space="preserve">More opportunity for staff development through challenge, variety, new skills and personal development. </w:t>
      </w:r>
    </w:p>
    <w:p w14:paraId="55DBA591" w14:textId="77777777" w:rsidR="002E6CAA" w:rsidRPr="00FB4E55" w:rsidRDefault="0095082E" w:rsidP="002E6CAA">
      <w:pPr>
        <w:pStyle w:val="ListParagraph"/>
        <w:numPr>
          <w:ilvl w:val="0"/>
          <w:numId w:val="18"/>
        </w:numPr>
        <w:rPr>
          <w:rFonts w:ascii="Arial" w:hAnsi="Arial" w:cs="Arial"/>
          <w:lang w:val="en-US"/>
        </w:rPr>
      </w:pPr>
      <w:r>
        <w:rPr>
          <w:rFonts w:ascii="Arial" w:hAnsi="Arial" w:cs="Arial"/>
        </w:rPr>
        <w:t>Wider variety of projects and tasks allowing for a more varied workday.</w:t>
      </w:r>
      <w:r>
        <w:rPr>
          <w:rFonts w:ascii="Arial" w:hAnsi="Arial" w:cs="Arial"/>
        </w:rPr>
        <w:br/>
      </w:r>
    </w:p>
    <w:p w14:paraId="55DBA592" w14:textId="77777777" w:rsidR="00A749DA" w:rsidRDefault="0095082E" w:rsidP="002E6CAA">
      <w:pPr>
        <w:pStyle w:val="ListParagraph"/>
        <w:numPr>
          <w:ilvl w:val="0"/>
          <w:numId w:val="21"/>
        </w:numPr>
        <w:rPr>
          <w:rFonts w:ascii="Arial" w:hAnsi="Arial" w:cs="Arial"/>
          <w:lang w:val="en-US"/>
        </w:rPr>
      </w:pPr>
      <w:r w:rsidRPr="002E6CAA">
        <w:rPr>
          <w:rFonts w:ascii="Arial" w:hAnsi="Arial" w:cs="Arial"/>
          <w:lang w:val="en-US"/>
        </w:rPr>
        <w:t xml:space="preserve">Only four respondents indicated being less </w:t>
      </w:r>
      <w:r>
        <w:rPr>
          <w:rFonts w:ascii="Arial" w:hAnsi="Arial" w:cs="Arial"/>
          <w:lang w:val="en-US"/>
        </w:rPr>
        <w:t xml:space="preserve">than </w:t>
      </w:r>
      <w:r w:rsidRPr="002E6CAA">
        <w:rPr>
          <w:rFonts w:ascii="Arial" w:hAnsi="Arial" w:cs="Arial"/>
          <w:lang w:val="en-US"/>
        </w:rPr>
        <w:t xml:space="preserve">satisfied with their jobs, which generally relates to individuals in teams that </w:t>
      </w:r>
      <w:r>
        <w:rPr>
          <w:rFonts w:ascii="Arial" w:hAnsi="Arial" w:cs="Arial"/>
          <w:lang w:val="en-US"/>
        </w:rPr>
        <w:t xml:space="preserve">have </w:t>
      </w:r>
      <w:r w:rsidRPr="002E6CAA">
        <w:rPr>
          <w:rFonts w:ascii="Arial" w:hAnsi="Arial" w:cs="Arial"/>
          <w:lang w:val="en-US"/>
        </w:rPr>
        <w:t>recently integrated into</w:t>
      </w:r>
      <w:r>
        <w:rPr>
          <w:rFonts w:ascii="Arial" w:hAnsi="Arial" w:cs="Arial"/>
          <w:lang w:val="en-US"/>
        </w:rPr>
        <w:t xml:space="preserve"> shared services or teams that are not fully shared. </w:t>
      </w:r>
    </w:p>
    <w:p w14:paraId="55DBA593" w14:textId="77777777" w:rsidR="0034317B" w:rsidRDefault="00425003" w:rsidP="0034317B">
      <w:pPr>
        <w:pStyle w:val="ListParagraph"/>
        <w:rPr>
          <w:rFonts w:ascii="Arial" w:hAnsi="Arial" w:cs="Arial"/>
          <w:lang w:val="en-US"/>
        </w:rPr>
      </w:pPr>
    </w:p>
    <w:p w14:paraId="55DBA594" w14:textId="77777777" w:rsidR="002E6CAA" w:rsidRDefault="0095082E" w:rsidP="002E6CAA">
      <w:pPr>
        <w:pStyle w:val="ListParagraph"/>
        <w:numPr>
          <w:ilvl w:val="0"/>
          <w:numId w:val="21"/>
        </w:numPr>
        <w:rPr>
          <w:rFonts w:ascii="Arial" w:hAnsi="Arial" w:cs="Arial"/>
          <w:lang w:val="en-US"/>
        </w:rPr>
      </w:pPr>
      <w:r>
        <w:rPr>
          <w:rFonts w:ascii="Arial" w:hAnsi="Arial" w:cs="Arial"/>
          <w:lang w:val="en-US"/>
        </w:rPr>
        <w:t xml:space="preserve">Some of the key areas for further development are as follows: </w:t>
      </w:r>
      <w:r>
        <w:rPr>
          <w:rFonts w:ascii="Arial" w:hAnsi="Arial" w:cs="Arial"/>
          <w:lang w:val="en-US"/>
        </w:rPr>
        <w:br/>
      </w:r>
    </w:p>
    <w:p w14:paraId="55DBA595" w14:textId="77777777" w:rsidR="002E6CAA" w:rsidRDefault="0095082E" w:rsidP="002E6CAA">
      <w:pPr>
        <w:pStyle w:val="ListParagraph"/>
        <w:numPr>
          <w:ilvl w:val="0"/>
          <w:numId w:val="19"/>
        </w:numPr>
        <w:rPr>
          <w:rFonts w:ascii="Arial" w:hAnsi="Arial" w:cs="Arial"/>
          <w:lang w:val="en-US"/>
        </w:rPr>
      </w:pPr>
      <w:r>
        <w:rPr>
          <w:rFonts w:ascii="Arial" w:hAnsi="Arial" w:cs="Arial"/>
          <w:lang w:val="en-US"/>
        </w:rPr>
        <w:t xml:space="preserve">Staff remain enthusiastic to meet their Shared Services colleagues as they have returned to the office. Events are being scheduled to provide staff with an opportunity to meet colleagues across Shared Services and help build a shared work culture across the two councils. </w:t>
      </w:r>
    </w:p>
    <w:p w14:paraId="55DBA596" w14:textId="77777777" w:rsidR="001A5374" w:rsidRDefault="0095082E" w:rsidP="001A5374">
      <w:pPr>
        <w:pStyle w:val="ListParagraph"/>
        <w:numPr>
          <w:ilvl w:val="0"/>
          <w:numId w:val="19"/>
        </w:numPr>
        <w:rPr>
          <w:rFonts w:ascii="Arial" w:hAnsi="Arial" w:cs="Arial"/>
          <w:lang w:val="en-US"/>
        </w:rPr>
      </w:pPr>
      <w:r>
        <w:rPr>
          <w:rFonts w:ascii="Arial" w:hAnsi="Arial" w:cs="Arial"/>
          <w:lang w:val="en-US"/>
        </w:rPr>
        <w:t>Integrating newly established shared services teams, such as: Events, Museums, Tourism and Culture, and Health and Safety. Service leads and managers will continue to support staff in furthering the integration of teams. This will include ICT and Customer Services once the restructures have been implemented.</w:t>
      </w:r>
    </w:p>
    <w:p w14:paraId="55DBA597" w14:textId="77777777" w:rsidR="001A5374" w:rsidRPr="001A5374" w:rsidRDefault="0095082E" w:rsidP="001A5374">
      <w:pPr>
        <w:pStyle w:val="ListParagraph"/>
        <w:numPr>
          <w:ilvl w:val="0"/>
          <w:numId w:val="19"/>
        </w:numPr>
        <w:rPr>
          <w:rFonts w:ascii="Arial" w:hAnsi="Arial" w:cs="Arial"/>
          <w:lang w:val="en-US"/>
        </w:rPr>
      </w:pPr>
      <w:r>
        <w:rPr>
          <w:rFonts w:ascii="Arial" w:hAnsi="Arial" w:cs="Arial"/>
          <w:lang w:val="en-US"/>
        </w:rPr>
        <w:t xml:space="preserve">Continuing to support staff across shared services through development reviews, networking opportunities, and Directorate manager meetings to identify and address any issues raised. </w:t>
      </w:r>
    </w:p>
    <w:p w14:paraId="55DBA598" w14:textId="77777777" w:rsidR="00FE28E0" w:rsidRDefault="00425003" w:rsidP="00D13E82">
      <w:pPr>
        <w:rPr>
          <w:rFonts w:ascii="Arial" w:hAnsi="Arial" w:cs="Arial"/>
          <w:b/>
          <w:bCs/>
          <w:lang w:val="en-US"/>
        </w:rPr>
      </w:pPr>
    </w:p>
    <w:p w14:paraId="55DBA599" w14:textId="77777777" w:rsidR="00B44B3D" w:rsidRDefault="0095082E" w:rsidP="00B44B3D">
      <w:pPr>
        <w:rPr>
          <w:rFonts w:ascii="Arial" w:hAnsi="Arial" w:cs="Arial"/>
          <w:b/>
          <w:bCs/>
          <w:lang w:val="en-US"/>
        </w:rPr>
      </w:pPr>
      <w:r>
        <w:rPr>
          <w:rFonts w:ascii="Arial" w:hAnsi="Arial" w:cs="Arial"/>
          <w:b/>
          <w:bCs/>
          <w:lang w:val="en-US"/>
        </w:rPr>
        <w:t>Service Level Performance</w:t>
      </w:r>
    </w:p>
    <w:p w14:paraId="55DBA59A" w14:textId="77777777" w:rsidR="009E4112" w:rsidRDefault="00425003" w:rsidP="00B44B3D">
      <w:pPr>
        <w:rPr>
          <w:rFonts w:ascii="Arial" w:hAnsi="Arial" w:cs="Arial"/>
          <w:b/>
          <w:bCs/>
          <w:lang w:val="en-US"/>
        </w:rPr>
      </w:pPr>
    </w:p>
    <w:p w14:paraId="55DBA59B" w14:textId="77777777" w:rsidR="00027347" w:rsidRDefault="0095082E" w:rsidP="00B4211F">
      <w:pPr>
        <w:pStyle w:val="ListParagraph"/>
        <w:numPr>
          <w:ilvl w:val="0"/>
          <w:numId w:val="21"/>
        </w:numPr>
        <w:spacing w:line="256" w:lineRule="auto"/>
        <w:jc w:val="both"/>
        <w:rPr>
          <w:rFonts w:ascii="Arial" w:hAnsi="Arial" w:cs="Arial"/>
          <w:lang w:val="en-US"/>
        </w:rPr>
      </w:pPr>
      <w:r w:rsidRPr="00A749DA">
        <w:rPr>
          <w:rFonts w:ascii="Arial" w:hAnsi="Arial" w:cs="Arial"/>
          <w:lang w:val="en-US"/>
        </w:rPr>
        <w:t xml:space="preserve">Each service has identified </w:t>
      </w:r>
      <w:r>
        <w:rPr>
          <w:rFonts w:ascii="Arial" w:hAnsi="Arial" w:cs="Arial"/>
          <w:lang w:val="en-US"/>
        </w:rPr>
        <w:t>several</w:t>
      </w:r>
      <w:r w:rsidRPr="00A749DA">
        <w:rPr>
          <w:rFonts w:ascii="Arial" w:hAnsi="Arial" w:cs="Arial"/>
          <w:lang w:val="en-US"/>
        </w:rPr>
        <w:t xml:space="preserve"> service development objectives to set out the transformation and development of the shared services to a single operating model. </w:t>
      </w:r>
      <w:r>
        <w:rPr>
          <w:rFonts w:ascii="Arial" w:hAnsi="Arial" w:cs="Arial"/>
          <w:lang w:val="en-US"/>
        </w:rPr>
        <w:t>There are currently 8 service development objectives for the Phase 1 services with 4 being complete and 4 still ongoing.</w:t>
      </w:r>
    </w:p>
    <w:p w14:paraId="55DBA59C" w14:textId="77777777" w:rsidR="00B4211F" w:rsidRPr="00B4211F" w:rsidRDefault="00425003" w:rsidP="00B4211F">
      <w:pPr>
        <w:pStyle w:val="ListParagraph"/>
        <w:spacing w:line="256" w:lineRule="auto"/>
        <w:jc w:val="both"/>
        <w:rPr>
          <w:rFonts w:ascii="Arial" w:hAnsi="Arial" w:cs="Arial"/>
          <w:lang w:val="en-US"/>
        </w:rPr>
      </w:pPr>
    </w:p>
    <w:p w14:paraId="55DBA59D" w14:textId="77777777" w:rsidR="00B44B3D" w:rsidRPr="00027347" w:rsidRDefault="0095082E" w:rsidP="00027347">
      <w:pPr>
        <w:pStyle w:val="ListParagraph"/>
        <w:numPr>
          <w:ilvl w:val="0"/>
          <w:numId w:val="21"/>
        </w:numPr>
        <w:spacing w:line="256" w:lineRule="auto"/>
        <w:jc w:val="both"/>
        <w:rPr>
          <w:rFonts w:ascii="Arial" w:hAnsi="Arial" w:cs="Arial"/>
          <w:lang w:val="en-US"/>
        </w:rPr>
      </w:pPr>
      <w:r w:rsidRPr="00027347">
        <w:rPr>
          <w:rFonts w:ascii="Arial" w:hAnsi="Arial" w:cs="Arial"/>
          <w:lang w:val="en-US"/>
        </w:rPr>
        <w:t xml:space="preserve">Some of the work that has been completed includes: </w:t>
      </w:r>
    </w:p>
    <w:p w14:paraId="55DBA59E" w14:textId="77777777" w:rsidR="00A40E8C" w:rsidRPr="00A40E8C" w:rsidRDefault="00425003" w:rsidP="00A40E8C">
      <w:pPr>
        <w:pStyle w:val="ListParagraph"/>
        <w:rPr>
          <w:rFonts w:ascii="Arial" w:hAnsi="Arial" w:cs="Arial"/>
          <w:lang w:val="en-US"/>
        </w:rPr>
      </w:pPr>
    </w:p>
    <w:p w14:paraId="55DBA59F" w14:textId="77777777" w:rsidR="00A40E8C" w:rsidRDefault="0095082E" w:rsidP="00A40E8C">
      <w:pPr>
        <w:pStyle w:val="ListParagraph"/>
        <w:numPr>
          <w:ilvl w:val="0"/>
          <w:numId w:val="23"/>
        </w:numPr>
        <w:spacing w:line="256" w:lineRule="auto"/>
        <w:jc w:val="both"/>
        <w:rPr>
          <w:rFonts w:ascii="Arial" w:hAnsi="Arial" w:cs="Arial"/>
          <w:lang w:val="en-US"/>
        </w:rPr>
      </w:pPr>
      <w:r>
        <w:rPr>
          <w:rFonts w:ascii="Arial" w:hAnsi="Arial" w:cs="Arial"/>
          <w:lang w:val="en-US"/>
        </w:rPr>
        <w:t xml:space="preserve">Developing a shared performance management system to ensure consistent reporting of data and performance, a more user-friendly system, and reduced data entry time. </w:t>
      </w:r>
    </w:p>
    <w:p w14:paraId="55DBA5A0" w14:textId="77777777" w:rsidR="00A40E8C" w:rsidRDefault="0095082E" w:rsidP="00A40E8C">
      <w:pPr>
        <w:pStyle w:val="ListParagraph"/>
        <w:numPr>
          <w:ilvl w:val="0"/>
          <w:numId w:val="23"/>
        </w:numPr>
        <w:spacing w:line="256" w:lineRule="auto"/>
        <w:jc w:val="both"/>
        <w:rPr>
          <w:rFonts w:ascii="Arial" w:hAnsi="Arial" w:cs="Arial"/>
          <w:lang w:val="en-US"/>
        </w:rPr>
      </w:pPr>
      <w:r>
        <w:rPr>
          <w:rFonts w:ascii="Arial" w:hAnsi="Arial" w:cs="Arial"/>
          <w:lang w:val="en-US"/>
        </w:rPr>
        <w:t xml:space="preserve">The implementation of the shared Events team and Museums, Tourism and Culture service. </w:t>
      </w:r>
    </w:p>
    <w:p w14:paraId="55DBA5A1" w14:textId="77777777" w:rsidR="00027347" w:rsidRDefault="0095082E" w:rsidP="00027347">
      <w:pPr>
        <w:pStyle w:val="ListParagraph"/>
        <w:numPr>
          <w:ilvl w:val="0"/>
          <w:numId w:val="23"/>
        </w:numPr>
        <w:spacing w:line="256" w:lineRule="auto"/>
        <w:jc w:val="both"/>
        <w:rPr>
          <w:rFonts w:ascii="Arial" w:hAnsi="Arial" w:cs="Arial"/>
          <w:lang w:val="en-US"/>
        </w:rPr>
      </w:pPr>
      <w:r>
        <w:rPr>
          <w:rFonts w:ascii="Arial" w:hAnsi="Arial" w:cs="Arial"/>
          <w:lang w:val="en-US"/>
        </w:rPr>
        <w:t xml:space="preserve">A review of the shared Audit and Risk team to ensure that resource and capacity are aligned to the priorities of the service and delivering efficiencies for transactional work. </w:t>
      </w:r>
    </w:p>
    <w:p w14:paraId="55DBA5A2" w14:textId="77777777" w:rsidR="00027347" w:rsidRDefault="00425003" w:rsidP="00027347">
      <w:pPr>
        <w:pStyle w:val="ListParagraph"/>
        <w:spacing w:line="256" w:lineRule="auto"/>
        <w:ind w:left="1440"/>
        <w:jc w:val="both"/>
        <w:rPr>
          <w:rFonts w:ascii="Arial" w:hAnsi="Arial" w:cs="Arial"/>
          <w:lang w:val="en-US"/>
        </w:rPr>
      </w:pPr>
    </w:p>
    <w:p w14:paraId="55DBA5A3" w14:textId="77777777" w:rsidR="00A40E8C" w:rsidRPr="00027347" w:rsidRDefault="0095082E" w:rsidP="00027347">
      <w:pPr>
        <w:pStyle w:val="ListParagraph"/>
        <w:numPr>
          <w:ilvl w:val="0"/>
          <w:numId w:val="21"/>
        </w:numPr>
        <w:spacing w:line="256" w:lineRule="auto"/>
        <w:jc w:val="both"/>
        <w:rPr>
          <w:rFonts w:ascii="Arial" w:hAnsi="Arial" w:cs="Arial"/>
          <w:lang w:val="en-US"/>
        </w:rPr>
      </w:pPr>
      <w:r w:rsidRPr="00027347">
        <w:rPr>
          <w:rFonts w:ascii="Arial" w:hAnsi="Arial" w:cs="Arial"/>
          <w:lang w:val="en-US"/>
        </w:rPr>
        <w:t xml:space="preserve">Development objectives that are ongoing but scheduled to be completed over the next year are as follows: </w:t>
      </w:r>
    </w:p>
    <w:p w14:paraId="55DBA5A4" w14:textId="77777777" w:rsidR="00A40E8C" w:rsidRDefault="0095082E" w:rsidP="00A40E8C">
      <w:pPr>
        <w:pStyle w:val="ListParagraph"/>
        <w:numPr>
          <w:ilvl w:val="0"/>
          <w:numId w:val="25"/>
        </w:numPr>
        <w:spacing w:line="256" w:lineRule="auto"/>
        <w:jc w:val="both"/>
        <w:rPr>
          <w:rFonts w:ascii="Arial" w:hAnsi="Arial" w:cs="Arial"/>
          <w:lang w:val="en-US"/>
        </w:rPr>
      </w:pPr>
      <w:r>
        <w:rPr>
          <w:rFonts w:ascii="Arial" w:hAnsi="Arial" w:cs="Arial"/>
          <w:lang w:val="en-US"/>
        </w:rPr>
        <w:t xml:space="preserve">Delivering a shared HR operating model including HR system. This will support increased self-service and access to information for managers whilst enabling HR to focus capacity on case management, workforce planning and providing an advisory function. </w:t>
      </w:r>
    </w:p>
    <w:p w14:paraId="55DBA5A5" w14:textId="77777777" w:rsidR="00A40E8C" w:rsidRDefault="0095082E" w:rsidP="00A40E8C">
      <w:pPr>
        <w:pStyle w:val="ListParagraph"/>
        <w:numPr>
          <w:ilvl w:val="0"/>
          <w:numId w:val="25"/>
        </w:numPr>
        <w:spacing w:line="256" w:lineRule="auto"/>
        <w:jc w:val="both"/>
        <w:rPr>
          <w:rFonts w:ascii="Arial" w:hAnsi="Arial" w:cs="Arial"/>
          <w:lang w:val="en-US"/>
        </w:rPr>
      </w:pPr>
      <w:r>
        <w:rPr>
          <w:rFonts w:ascii="Arial" w:hAnsi="Arial" w:cs="Arial"/>
          <w:lang w:val="en-US"/>
        </w:rPr>
        <w:t xml:space="preserve">Undertake a review of internal communications and digital channels to ensure that we are using best practice and adapting to the changing use of social media. </w:t>
      </w:r>
    </w:p>
    <w:p w14:paraId="55DBA5A6" w14:textId="77777777" w:rsidR="00A40E8C" w:rsidRPr="00027347" w:rsidRDefault="0095082E" w:rsidP="00027347">
      <w:pPr>
        <w:pStyle w:val="ListParagraph"/>
        <w:numPr>
          <w:ilvl w:val="0"/>
          <w:numId w:val="25"/>
        </w:numPr>
        <w:spacing w:line="256" w:lineRule="auto"/>
        <w:jc w:val="both"/>
        <w:rPr>
          <w:rFonts w:ascii="Arial" w:hAnsi="Arial" w:cs="Arial"/>
          <w:lang w:val="en-US"/>
        </w:rPr>
      </w:pPr>
      <w:r>
        <w:rPr>
          <w:rFonts w:ascii="Arial" w:hAnsi="Arial" w:cs="Arial"/>
          <w:lang w:val="en-US"/>
        </w:rPr>
        <w:t xml:space="preserve">Review Legal services to develop a single operating model for the service. </w:t>
      </w:r>
    </w:p>
    <w:p w14:paraId="55DBA5A7" w14:textId="77777777" w:rsidR="00B44B3D" w:rsidRDefault="00425003" w:rsidP="00B44B3D">
      <w:pPr>
        <w:pStyle w:val="ListParagraph"/>
        <w:jc w:val="both"/>
        <w:rPr>
          <w:rFonts w:ascii="Arial" w:hAnsi="Arial" w:cs="Arial"/>
          <w:lang w:val="en-US"/>
        </w:rPr>
      </w:pPr>
    </w:p>
    <w:p w14:paraId="55DBA5A8" w14:textId="77777777" w:rsidR="00B44B3D" w:rsidRDefault="0095082E" w:rsidP="00027347">
      <w:pPr>
        <w:pStyle w:val="ListParagraph"/>
        <w:numPr>
          <w:ilvl w:val="0"/>
          <w:numId w:val="21"/>
        </w:numPr>
        <w:spacing w:line="256" w:lineRule="auto"/>
        <w:jc w:val="both"/>
        <w:rPr>
          <w:rFonts w:ascii="Arial" w:hAnsi="Arial" w:cs="Arial"/>
          <w:lang w:val="en-US"/>
        </w:rPr>
      </w:pPr>
      <w:r w:rsidRPr="00027347">
        <w:rPr>
          <w:rFonts w:ascii="Arial" w:hAnsi="Arial" w:cs="Arial"/>
          <w:lang w:val="en-US"/>
        </w:rPr>
        <w:t xml:space="preserve">Benefits are also tracked for each service in relation to savings, service development, resilience and capacity, and staff development. Some of the key benefits for each service that have been delivered since the last review are highlighted below, with a full summary of all service development objectives and the benefits tracker available in appendix B.  </w:t>
      </w:r>
    </w:p>
    <w:p w14:paraId="55DBA5A9" w14:textId="77777777" w:rsidR="00B4211F" w:rsidRPr="00027347" w:rsidRDefault="00425003" w:rsidP="00B4211F">
      <w:pPr>
        <w:pStyle w:val="ListParagraph"/>
        <w:spacing w:line="256" w:lineRule="auto"/>
        <w:jc w:val="both"/>
        <w:rPr>
          <w:rFonts w:ascii="Arial" w:hAnsi="Arial" w:cs="Arial"/>
          <w:lang w:val="en-US"/>
        </w:rPr>
      </w:pPr>
    </w:p>
    <w:p w14:paraId="55DBA5AA" w14:textId="77777777" w:rsidR="00B44B3D" w:rsidRDefault="0095082E" w:rsidP="00B44B3D">
      <w:pPr>
        <w:rPr>
          <w:rFonts w:ascii="Arial" w:hAnsi="Arial" w:cs="Arial"/>
          <w:b/>
          <w:bCs/>
          <w:lang w:val="en-US"/>
        </w:rPr>
      </w:pPr>
      <w:r>
        <w:rPr>
          <w:rFonts w:ascii="Arial" w:hAnsi="Arial" w:cs="Arial"/>
          <w:b/>
          <w:bCs/>
          <w:lang w:val="en-US"/>
        </w:rPr>
        <w:t xml:space="preserve">Transformation and Partnerships  </w:t>
      </w:r>
    </w:p>
    <w:p w14:paraId="55DBA5AB" w14:textId="77777777" w:rsidR="00027347" w:rsidRDefault="0095082E" w:rsidP="00027347">
      <w:pPr>
        <w:pStyle w:val="ListParagraph"/>
        <w:numPr>
          <w:ilvl w:val="0"/>
          <w:numId w:val="15"/>
        </w:numPr>
        <w:spacing w:line="256" w:lineRule="auto"/>
        <w:rPr>
          <w:rFonts w:ascii="Arial" w:hAnsi="Arial" w:cs="Arial"/>
          <w:lang w:val="en-US"/>
        </w:rPr>
      </w:pPr>
      <w:r>
        <w:rPr>
          <w:rFonts w:ascii="Arial" w:hAnsi="Arial" w:cs="Arial"/>
          <w:lang w:val="en-US"/>
        </w:rPr>
        <w:t xml:space="preserve">A shared performance management system to ensure a more user-friendly experience and reduced data entry time for staff. The in-house system replaces the InPhase system at South Ribble which, moving forwards, will save £40,000 for South Ribble. </w:t>
      </w:r>
    </w:p>
    <w:p w14:paraId="55DBA5AC" w14:textId="77777777" w:rsidR="00027347" w:rsidRPr="00535CB1" w:rsidRDefault="0095082E" w:rsidP="00027347">
      <w:pPr>
        <w:pStyle w:val="ListParagraph"/>
        <w:numPr>
          <w:ilvl w:val="0"/>
          <w:numId w:val="15"/>
        </w:numPr>
        <w:spacing w:line="256" w:lineRule="auto"/>
        <w:rPr>
          <w:lang w:val="en-US"/>
        </w:rPr>
      </w:pPr>
      <w:r>
        <w:rPr>
          <w:rFonts w:ascii="Arial" w:hAnsi="Arial" w:cs="Arial"/>
          <w:lang w:val="en-US"/>
        </w:rPr>
        <w:t xml:space="preserve">Shared policies and strategies to share expertise and best practice across the councils including: </w:t>
      </w:r>
    </w:p>
    <w:p w14:paraId="55DBA5AD" w14:textId="77777777" w:rsidR="00027347" w:rsidRPr="00535CB1" w:rsidRDefault="0095082E" w:rsidP="00027347">
      <w:pPr>
        <w:pStyle w:val="ListParagraph"/>
        <w:numPr>
          <w:ilvl w:val="0"/>
          <w:numId w:val="22"/>
        </w:numPr>
        <w:spacing w:line="256" w:lineRule="auto"/>
        <w:rPr>
          <w:lang w:val="en-US"/>
        </w:rPr>
      </w:pPr>
      <w:r>
        <w:rPr>
          <w:rFonts w:ascii="Arial" w:hAnsi="Arial" w:cs="Arial"/>
          <w:lang w:val="en-US"/>
        </w:rPr>
        <w:t>Organisational Development strategies</w:t>
      </w:r>
    </w:p>
    <w:p w14:paraId="55DBA5AE" w14:textId="77777777" w:rsidR="00027347" w:rsidRPr="00535CB1" w:rsidRDefault="0095082E" w:rsidP="00027347">
      <w:pPr>
        <w:pStyle w:val="ListParagraph"/>
        <w:numPr>
          <w:ilvl w:val="0"/>
          <w:numId w:val="22"/>
        </w:numPr>
        <w:spacing w:line="256" w:lineRule="auto"/>
        <w:rPr>
          <w:lang w:val="en-US"/>
        </w:rPr>
      </w:pPr>
      <w:r>
        <w:rPr>
          <w:rFonts w:ascii="Arial" w:hAnsi="Arial" w:cs="Arial"/>
          <w:lang w:val="en-US"/>
        </w:rPr>
        <w:t>Transformation Strategies</w:t>
      </w:r>
    </w:p>
    <w:p w14:paraId="55DBA5AF" w14:textId="77777777" w:rsidR="00027347" w:rsidRPr="00535CB1" w:rsidRDefault="0095082E" w:rsidP="00027347">
      <w:pPr>
        <w:pStyle w:val="ListParagraph"/>
        <w:numPr>
          <w:ilvl w:val="0"/>
          <w:numId w:val="22"/>
        </w:numPr>
        <w:spacing w:line="256" w:lineRule="auto"/>
        <w:rPr>
          <w:lang w:val="en-US"/>
        </w:rPr>
      </w:pPr>
      <w:r>
        <w:rPr>
          <w:rFonts w:ascii="Arial" w:hAnsi="Arial" w:cs="Arial"/>
          <w:lang w:val="en-US"/>
        </w:rPr>
        <w:t>Key Partnerships and Contracts Framework</w:t>
      </w:r>
    </w:p>
    <w:p w14:paraId="55DBA5B0" w14:textId="77777777" w:rsidR="00027347" w:rsidRPr="00535CB1" w:rsidRDefault="0095082E" w:rsidP="00027347">
      <w:pPr>
        <w:pStyle w:val="ListParagraph"/>
        <w:numPr>
          <w:ilvl w:val="0"/>
          <w:numId w:val="22"/>
        </w:numPr>
        <w:spacing w:line="256" w:lineRule="auto"/>
        <w:rPr>
          <w:lang w:val="en-US"/>
        </w:rPr>
      </w:pPr>
      <w:r>
        <w:rPr>
          <w:rFonts w:ascii="Arial" w:hAnsi="Arial" w:cs="Arial"/>
          <w:lang w:val="en-US"/>
        </w:rPr>
        <w:t xml:space="preserve">HR Policy framework </w:t>
      </w:r>
    </w:p>
    <w:p w14:paraId="55DBA5B1" w14:textId="77777777" w:rsidR="00027347" w:rsidRDefault="0095082E" w:rsidP="00027347">
      <w:pPr>
        <w:pStyle w:val="ListParagraph"/>
        <w:numPr>
          <w:ilvl w:val="0"/>
          <w:numId w:val="15"/>
        </w:numPr>
        <w:spacing w:line="256" w:lineRule="auto"/>
        <w:rPr>
          <w:lang w:val="en-US"/>
        </w:rPr>
      </w:pPr>
      <w:r>
        <w:rPr>
          <w:rFonts w:ascii="Arial" w:hAnsi="Arial" w:cs="Arial"/>
          <w:lang w:val="en-US"/>
        </w:rPr>
        <w:t xml:space="preserve">The shared strategic partnership aims to utilise shared resource and governance to enable partners to work more closely together. The partnership was agreed in September this year, and has already offered opportunities to align capacity and engagement from shared partners such as through the Shared Economic Summit </w:t>
      </w:r>
    </w:p>
    <w:p w14:paraId="55DBA5B2" w14:textId="77777777" w:rsidR="00027347" w:rsidRPr="00B44B3D" w:rsidRDefault="0095082E" w:rsidP="00027347">
      <w:pPr>
        <w:pStyle w:val="ListParagraph"/>
        <w:numPr>
          <w:ilvl w:val="0"/>
          <w:numId w:val="15"/>
        </w:numPr>
        <w:spacing w:line="256" w:lineRule="auto"/>
        <w:rPr>
          <w:lang w:val="en-US"/>
        </w:rPr>
      </w:pPr>
      <w:r>
        <w:rPr>
          <w:rFonts w:ascii="Arial" w:hAnsi="Arial" w:cs="Arial"/>
          <w:lang w:val="en-US"/>
        </w:rPr>
        <w:t xml:space="preserve">Two graduate development roles have been recruited to, creating career opportunities for local people and developing succession planning. </w:t>
      </w:r>
    </w:p>
    <w:p w14:paraId="55DBA5B3" w14:textId="77777777" w:rsidR="00027347" w:rsidRDefault="0095082E" w:rsidP="00B44B3D">
      <w:pPr>
        <w:rPr>
          <w:rFonts w:ascii="Arial" w:hAnsi="Arial" w:cs="Arial"/>
          <w:b/>
          <w:bCs/>
          <w:lang w:val="en-US"/>
        </w:rPr>
      </w:pPr>
      <w:r>
        <w:rPr>
          <w:rFonts w:ascii="Arial" w:hAnsi="Arial" w:cs="Arial"/>
          <w:b/>
          <w:bCs/>
          <w:lang w:val="en-US"/>
        </w:rPr>
        <w:t xml:space="preserve">Communications and Visitor Economy </w:t>
      </w:r>
    </w:p>
    <w:p w14:paraId="55DBA5B4" w14:textId="77777777" w:rsidR="00027347" w:rsidRDefault="0095082E" w:rsidP="00027347">
      <w:pPr>
        <w:pStyle w:val="ListParagraph"/>
        <w:numPr>
          <w:ilvl w:val="0"/>
          <w:numId w:val="16"/>
        </w:numPr>
        <w:spacing w:line="256" w:lineRule="auto"/>
        <w:rPr>
          <w:rFonts w:ascii="Arial" w:hAnsi="Arial" w:cs="Arial"/>
          <w:lang w:val="en-US"/>
        </w:rPr>
      </w:pPr>
      <w:r>
        <w:rPr>
          <w:rFonts w:ascii="Arial" w:hAnsi="Arial" w:cs="Arial"/>
          <w:lang w:val="en-US"/>
        </w:rPr>
        <w:t xml:space="preserve">Increased capacity for Events from 3 members of staff at Chorley to 5 across the two orgnaisations. Dedicated resource at South Ribble will help to deliver an enhanced events programme and will release capacity across other areas of the organisation.  </w:t>
      </w:r>
    </w:p>
    <w:p w14:paraId="55DBA5B5" w14:textId="77777777" w:rsidR="00027347" w:rsidRDefault="0095082E" w:rsidP="00027347">
      <w:pPr>
        <w:pStyle w:val="ListParagraph"/>
        <w:numPr>
          <w:ilvl w:val="0"/>
          <w:numId w:val="16"/>
        </w:numPr>
        <w:spacing w:line="256" w:lineRule="auto"/>
        <w:rPr>
          <w:rFonts w:ascii="Arial" w:hAnsi="Arial" w:cs="Arial"/>
          <w:lang w:val="en-US"/>
        </w:rPr>
      </w:pPr>
      <w:r>
        <w:rPr>
          <w:rFonts w:ascii="Arial" w:hAnsi="Arial" w:cs="Arial"/>
          <w:lang w:val="en-US"/>
        </w:rPr>
        <w:t>Succession planning for apprentice roles has allowed a postholder to take up a permanent position in the team from September 2021, supporting the retention of talented staff at the councils.</w:t>
      </w:r>
      <w:r w:rsidRPr="0038515C">
        <w:rPr>
          <w:rFonts w:ascii="Arial" w:hAnsi="Arial" w:cs="Arial"/>
          <w:lang w:val="en-US"/>
        </w:rPr>
        <w:t xml:space="preserve"> </w:t>
      </w:r>
    </w:p>
    <w:p w14:paraId="55DBA5B6" w14:textId="77777777" w:rsidR="00027347" w:rsidRPr="0038515C" w:rsidRDefault="0095082E" w:rsidP="00027347">
      <w:pPr>
        <w:pStyle w:val="ListParagraph"/>
        <w:numPr>
          <w:ilvl w:val="0"/>
          <w:numId w:val="16"/>
        </w:numPr>
        <w:spacing w:line="256" w:lineRule="auto"/>
        <w:rPr>
          <w:rFonts w:ascii="Arial" w:hAnsi="Arial" w:cs="Arial"/>
          <w:lang w:val="en-US"/>
        </w:rPr>
      </w:pPr>
      <w:r>
        <w:rPr>
          <w:rFonts w:ascii="Arial" w:hAnsi="Arial" w:cs="Arial"/>
          <w:lang w:val="en-US"/>
        </w:rPr>
        <w:t xml:space="preserve">An events intern position has been developed to provide experience to local people whilst bringing in new talent and up to date knowledge of recent developments in the sector. </w:t>
      </w:r>
    </w:p>
    <w:p w14:paraId="55DBA5B7" w14:textId="77777777" w:rsidR="00027347" w:rsidRDefault="0095082E" w:rsidP="00027347">
      <w:pPr>
        <w:pStyle w:val="ListParagraph"/>
        <w:numPr>
          <w:ilvl w:val="0"/>
          <w:numId w:val="16"/>
        </w:numPr>
        <w:spacing w:line="256" w:lineRule="auto"/>
        <w:rPr>
          <w:rFonts w:ascii="Arial" w:hAnsi="Arial" w:cs="Arial"/>
          <w:lang w:val="en-US"/>
        </w:rPr>
      </w:pPr>
      <w:r>
        <w:rPr>
          <w:rFonts w:ascii="Arial" w:hAnsi="Arial" w:cs="Arial"/>
          <w:lang w:val="en-US"/>
        </w:rPr>
        <w:t xml:space="preserve">Reduction in Astley Hall staffing budget c. £9,000 through sharing of team members. The total number of FTE in the team across the councils as increased from 7.2 FTE to 11.4 creating a flexible resource for both Chorley and South Ribble. </w:t>
      </w:r>
    </w:p>
    <w:p w14:paraId="55DBA5B8" w14:textId="77777777" w:rsidR="00027347" w:rsidRDefault="0095082E" w:rsidP="00027347">
      <w:pPr>
        <w:pStyle w:val="ListParagraph"/>
        <w:numPr>
          <w:ilvl w:val="0"/>
          <w:numId w:val="16"/>
        </w:numPr>
        <w:spacing w:line="256" w:lineRule="auto"/>
        <w:rPr>
          <w:rFonts w:ascii="Arial" w:hAnsi="Arial" w:cs="Arial"/>
          <w:lang w:val="en-US"/>
        </w:rPr>
      </w:pPr>
      <w:r>
        <w:rPr>
          <w:rFonts w:ascii="Arial" w:hAnsi="Arial" w:cs="Arial"/>
          <w:lang w:val="en-US"/>
        </w:rPr>
        <w:t xml:space="preserve">Improved museum, culture and tourism offer at South Ribble with the capacity to develop a conservation plan for South Ribble Museum, a tourism strategy, and a plan for operation of the Worden Hall site. </w:t>
      </w:r>
    </w:p>
    <w:p w14:paraId="55DBA5B9" w14:textId="77777777" w:rsidR="00027347" w:rsidRDefault="0095082E" w:rsidP="00B44B3D">
      <w:pPr>
        <w:rPr>
          <w:rFonts w:ascii="Arial" w:hAnsi="Arial" w:cs="Arial"/>
          <w:b/>
          <w:bCs/>
          <w:lang w:val="en-US"/>
        </w:rPr>
      </w:pPr>
      <w:r>
        <w:rPr>
          <w:rFonts w:ascii="Arial" w:hAnsi="Arial" w:cs="Arial"/>
          <w:b/>
          <w:bCs/>
          <w:lang w:val="en-US"/>
        </w:rPr>
        <w:t xml:space="preserve">Governance </w:t>
      </w:r>
    </w:p>
    <w:p w14:paraId="55DBA5BA" w14:textId="77777777" w:rsidR="00027347" w:rsidRPr="00FC1A9D" w:rsidRDefault="0095082E" w:rsidP="00027347">
      <w:pPr>
        <w:pStyle w:val="ListParagraph"/>
        <w:numPr>
          <w:ilvl w:val="0"/>
          <w:numId w:val="17"/>
        </w:numPr>
        <w:spacing w:line="256" w:lineRule="auto"/>
        <w:rPr>
          <w:rFonts w:ascii="Arial" w:hAnsi="Arial" w:cs="Arial"/>
          <w:b/>
          <w:bCs/>
          <w:lang w:val="en-US"/>
        </w:rPr>
      </w:pPr>
      <w:r>
        <w:rPr>
          <w:rFonts w:ascii="Arial" w:hAnsi="Arial" w:cs="Arial"/>
          <w:lang w:val="en-US"/>
        </w:rPr>
        <w:t xml:space="preserve">Reduction in corporate support staffing resource delivering savings of £17k per council. </w:t>
      </w:r>
    </w:p>
    <w:p w14:paraId="55DBA5BB" w14:textId="77777777" w:rsidR="00027347" w:rsidRDefault="0095082E" w:rsidP="00027347">
      <w:pPr>
        <w:pStyle w:val="ListParagraph"/>
        <w:numPr>
          <w:ilvl w:val="0"/>
          <w:numId w:val="17"/>
        </w:numPr>
        <w:spacing w:line="256" w:lineRule="auto"/>
        <w:rPr>
          <w:rFonts w:ascii="Arial" w:hAnsi="Arial" w:cs="Arial"/>
          <w:b/>
          <w:bCs/>
          <w:lang w:val="en-US"/>
        </w:rPr>
      </w:pPr>
      <w:r>
        <w:rPr>
          <w:rFonts w:ascii="Arial" w:hAnsi="Arial" w:cs="Arial"/>
          <w:lang w:val="en-US"/>
        </w:rPr>
        <w:t xml:space="preserve">The reduction in resource has been enabled by streamlining the corporate support team and looking to create a consistent approach across the councils. The review has still delivered resilience and flexibility to meet demand through a shared team of 8.57 FTE. </w:t>
      </w:r>
    </w:p>
    <w:p w14:paraId="55DBA5BC" w14:textId="77777777" w:rsidR="00027347" w:rsidRDefault="0095082E" w:rsidP="00027347">
      <w:pPr>
        <w:pStyle w:val="ListParagraph"/>
        <w:numPr>
          <w:ilvl w:val="0"/>
          <w:numId w:val="17"/>
        </w:numPr>
        <w:spacing w:line="256" w:lineRule="auto"/>
        <w:rPr>
          <w:rFonts w:ascii="Arial" w:hAnsi="Arial" w:cs="Arial"/>
          <w:lang w:val="en-US"/>
        </w:rPr>
      </w:pPr>
      <w:r>
        <w:rPr>
          <w:rFonts w:ascii="Arial" w:hAnsi="Arial" w:cs="Arial"/>
          <w:lang w:val="en-US"/>
        </w:rPr>
        <w:t xml:space="preserve">Increased capacity for Health and Safety from 1 officer role at each council to 3 shared posts (team leader, officer, and trainee.) </w:t>
      </w:r>
    </w:p>
    <w:p w14:paraId="55DBA5BD" w14:textId="77777777" w:rsidR="00027347" w:rsidRDefault="0095082E" w:rsidP="00027347">
      <w:pPr>
        <w:pStyle w:val="ListParagraph"/>
        <w:numPr>
          <w:ilvl w:val="0"/>
          <w:numId w:val="17"/>
        </w:numPr>
        <w:spacing w:line="256" w:lineRule="auto"/>
        <w:rPr>
          <w:rFonts w:ascii="Arial" w:hAnsi="Arial" w:cs="Arial"/>
          <w:lang w:val="en-US"/>
        </w:rPr>
      </w:pPr>
      <w:r>
        <w:rPr>
          <w:rFonts w:ascii="Arial" w:hAnsi="Arial" w:cs="Arial"/>
          <w:lang w:val="en-US"/>
        </w:rPr>
        <w:t xml:space="preserve">The trainee role provides an opportunity for current employees or local residents looking for a career in health and safety and the new structure provides clear succession planning and progression opportunities for key roles. </w:t>
      </w:r>
    </w:p>
    <w:p w14:paraId="55DBA5BE" w14:textId="77777777" w:rsidR="00B44B3D" w:rsidRDefault="00425003" w:rsidP="00B44B3D">
      <w:pPr>
        <w:rPr>
          <w:rFonts w:ascii="Arial" w:hAnsi="Arial" w:cs="Arial"/>
          <w:b/>
          <w:bCs/>
          <w:lang w:val="en-US"/>
        </w:rPr>
      </w:pPr>
    </w:p>
    <w:p w14:paraId="55DBA5BF" w14:textId="77777777" w:rsidR="00B44B3D" w:rsidRDefault="0095082E" w:rsidP="00B44B3D">
      <w:pPr>
        <w:rPr>
          <w:rFonts w:ascii="Arial" w:hAnsi="Arial" w:cs="Arial"/>
          <w:b/>
          <w:bCs/>
          <w:lang w:val="en-US"/>
        </w:rPr>
      </w:pPr>
      <w:r>
        <w:rPr>
          <w:rFonts w:ascii="Arial" w:hAnsi="Arial" w:cs="Arial"/>
          <w:b/>
          <w:bCs/>
          <w:lang w:val="en-US"/>
        </w:rPr>
        <w:t xml:space="preserve">Risk Register </w:t>
      </w:r>
    </w:p>
    <w:p w14:paraId="55DBA5C0" w14:textId="77777777" w:rsidR="009E4112" w:rsidRDefault="00425003" w:rsidP="00B44B3D">
      <w:pPr>
        <w:rPr>
          <w:rFonts w:ascii="Arial" w:hAnsi="Arial" w:cs="Arial"/>
          <w:b/>
          <w:bCs/>
          <w:lang w:val="en-US"/>
        </w:rPr>
      </w:pPr>
    </w:p>
    <w:p w14:paraId="55DBA5C1" w14:textId="77777777" w:rsidR="00B44B3D" w:rsidRDefault="0095082E" w:rsidP="00027347">
      <w:pPr>
        <w:pStyle w:val="ListParagraph"/>
        <w:numPr>
          <w:ilvl w:val="0"/>
          <w:numId w:val="15"/>
        </w:numPr>
        <w:spacing w:line="256" w:lineRule="auto"/>
        <w:jc w:val="both"/>
        <w:rPr>
          <w:rFonts w:ascii="Arial" w:hAnsi="Arial" w:cs="Arial"/>
          <w:lang w:val="en-US"/>
        </w:rPr>
      </w:pPr>
      <w:r>
        <w:rPr>
          <w:rFonts w:ascii="Arial" w:hAnsi="Arial" w:cs="Arial"/>
          <w:lang w:val="en-US"/>
        </w:rPr>
        <w:t xml:space="preserve">The following risk register provides a summary of the key risks for shared services, in addition to the actions and controls that are in place to mitigate the potential impact on the councils. </w:t>
      </w:r>
    </w:p>
    <w:p w14:paraId="55DBA5C2" w14:textId="77777777" w:rsidR="004652B5" w:rsidRDefault="00425003" w:rsidP="004652B5">
      <w:pPr>
        <w:pStyle w:val="ListParagraph"/>
        <w:spacing w:line="256" w:lineRule="auto"/>
        <w:jc w:val="both"/>
        <w:rPr>
          <w:rFonts w:ascii="Arial" w:hAnsi="Arial" w:cs="Arial"/>
          <w:lang w:val="en-US"/>
        </w:rPr>
      </w:pPr>
    </w:p>
    <w:p w14:paraId="55DBA5C3" w14:textId="77777777" w:rsidR="004652B5" w:rsidRDefault="0095082E" w:rsidP="00027347">
      <w:pPr>
        <w:pStyle w:val="ListParagraph"/>
        <w:numPr>
          <w:ilvl w:val="0"/>
          <w:numId w:val="15"/>
        </w:numPr>
        <w:spacing w:line="256" w:lineRule="auto"/>
        <w:jc w:val="both"/>
        <w:rPr>
          <w:rFonts w:ascii="Arial" w:hAnsi="Arial" w:cs="Arial"/>
          <w:lang w:val="en-US"/>
        </w:rPr>
      </w:pPr>
      <w:r>
        <w:rPr>
          <w:rFonts w:ascii="Arial" w:hAnsi="Arial" w:cs="Arial"/>
          <w:lang w:val="en-US"/>
        </w:rPr>
        <w:t xml:space="preserve">Since the last report in June 2021, additional actions have been identified to support staff uncertainty and wellbeing, including more opportunities for staff to meet face-to-face following the easing of Covid-19 restrictions and amendments to the Shared Change Policy to ensure a clear and consistent process is followed during restructure processes. </w:t>
      </w:r>
    </w:p>
    <w:p w14:paraId="55DBA5C4" w14:textId="77777777" w:rsidR="00B44B3D" w:rsidRDefault="00425003" w:rsidP="00B44B3D">
      <w:pPr>
        <w:pStyle w:val="ListParagraph"/>
        <w:jc w:val="both"/>
        <w:rPr>
          <w:rFonts w:ascii="Arial" w:hAnsi="Arial" w:cs="Arial"/>
          <w:lang w:val="en-US"/>
        </w:rPr>
      </w:pPr>
    </w:p>
    <w:p w14:paraId="55DBA5C5" w14:textId="77777777" w:rsidR="00B44B3D" w:rsidRDefault="0095082E" w:rsidP="00027347">
      <w:pPr>
        <w:pStyle w:val="ListParagraph"/>
        <w:numPr>
          <w:ilvl w:val="0"/>
          <w:numId w:val="15"/>
        </w:numPr>
        <w:spacing w:line="256" w:lineRule="auto"/>
        <w:jc w:val="both"/>
        <w:rPr>
          <w:rFonts w:ascii="Arial" w:hAnsi="Arial" w:cs="Arial"/>
          <w:lang w:val="en-US"/>
        </w:rPr>
      </w:pPr>
      <w:r>
        <w:rPr>
          <w:rFonts w:ascii="Arial" w:hAnsi="Arial" w:cs="Arial"/>
          <w:lang w:val="en-US"/>
        </w:rPr>
        <w:t xml:space="preserve"> 4 risks are identified as </w:t>
      </w:r>
      <w:r>
        <w:rPr>
          <w:rFonts w:ascii="Arial" w:hAnsi="Arial" w:cs="Arial"/>
          <w:b/>
          <w:bCs/>
          <w:color w:val="FFC000"/>
          <w:lang w:val="en-US"/>
        </w:rPr>
        <w:t>medium-risk</w:t>
      </w:r>
      <w:r>
        <w:rPr>
          <w:rFonts w:ascii="Arial" w:hAnsi="Arial" w:cs="Arial"/>
          <w:color w:val="FFC000"/>
          <w:lang w:val="en-US"/>
        </w:rPr>
        <w:t xml:space="preserve"> </w:t>
      </w:r>
      <w:r>
        <w:rPr>
          <w:rFonts w:ascii="Arial" w:hAnsi="Arial" w:cs="Arial"/>
          <w:lang w:val="en-US"/>
        </w:rPr>
        <w:t xml:space="preserve">in relation to impact and likelihood, and 2 risks are identified as </w:t>
      </w:r>
      <w:r>
        <w:rPr>
          <w:rFonts w:ascii="Arial" w:hAnsi="Arial" w:cs="Arial"/>
          <w:b/>
          <w:bCs/>
          <w:color w:val="00B050"/>
          <w:lang w:val="en-US"/>
        </w:rPr>
        <w:t>low-risk</w:t>
      </w:r>
      <w:r>
        <w:rPr>
          <w:rFonts w:ascii="Arial" w:hAnsi="Arial" w:cs="Arial"/>
          <w:lang w:val="en-US"/>
        </w:rPr>
        <w:t xml:space="preserve">. Many of the risks are mitigated by the governance arrangements for shared services including the shared services agreement. </w:t>
      </w:r>
    </w:p>
    <w:p w14:paraId="55DBA5C6" w14:textId="77777777" w:rsidR="00B44B3D" w:rsidRDefault="00425003" w:rsidP="00B44B3D">
      <w:pPr>
        <w:pStyle w:val="ListParagraph"/>
        <w:rPr>
          <w:rFonts w:ascii="Arial" w:hAnsi="Arial" w:cs="Arial"/>
          <w:lang w:val="en-US"/>
        </w:rPr>
      </w:pPr>
    </w:p>
    <w:p w14:paraId="55DBA5C7" w14:textId="77777777" w:rsidR="00B44B3D" w:rsidRDefault="0095082E" w:rsidP="00027347">
      <w:pPr>
        <w:pStyle w:val="ListParagraph"/>
        <w:numPr>
          <w:ilvl w:val="0"/>
          <w:numId w:val="15"/>
        </w:numPr>
        <w:spacing w:line="256" w:lineRule="auto"/>
        <w:jc w:val="both"/>
        <w:rPr>
          <w:rFonts w:ascii="Arial" w:hAnsi="Arial" w:cs="Arial"/>
          <w:lang w:val="en-US"/>
        </w:rPr>
      </w:pPr>
      <w:r>
        <w:rPr>
          <w:rFonts w:ascii="Arial" w:hAnsi="Arial" w:cs="Arial"/>
          <w:lang w:val="en-US"/>
        </w:rPr>
        <w:t>All risks will continue to be monitored as part of the shared services project and corporate risk registers, and any changes in risk will be captured through reporting to Shared Services Joint Committee.</w:t>
      </w:r>
    </w:p>
    <w:p w14:paraId="55DBA5C8" w14:textId="77777777" w:rsidR="00592E85" w:rsidRDefault="00425003" w:rsidP="00592E85">
      <w:pPr>
        <w:jc w:val="both"/>
        <w:rPr>
          <w:rFonts w:ascii="Arial" w:hAnsi="Arial" w:cs="Arial"/>
          <w:lang w:val="en-US"/>
        </w:rPr>
      </w:pPr>
    </w:p>
    <w:p w14:paraId="55DBA5C9" w14:textId="77777777" w:rsidR="00592E85" w:rsidRDefault="00425003" w:rsidP="00592E85">
      <w:pPr>
        <w:jc w:val="both"/>
        <w:rPr>
          <w:rFonts w:ascii="Arial" w:hAnsi="Arial" w:cs="Arial"/>
          <w:lang w:val="en-US"/>
        </w:rPr>
      </w:pPr>
    </w:p>
    <w:p w14:paraId="55DBA5CA" w14:textId="77777777" w:rsidR="00592E85" w:rsidRPr="00943143" w:rsidRDefault="00425003" w:rsidP="00943143">
      <w:pPr>
        <w:jc w:val="both"/>
        <w:rPr>
          <w:rFonts w:ascii="Arial" w:hAnsi="Arial" w:cs="Arial"/>
          <w:lang w:val="en-US"/>
        </w:rPr>
        <w:sectPr w:rsidR="00592E85" w:rsidRPr="00943143">
          <w:pgSz w:w="11906" w:h="16838"/>
          <w:pgMar w:top="1440" w:right="1440" w:bottom="1440" w:left="1440" w:header="708" w:footer="708" w:gutter="0"/>
          <w:cols w:space="708"/>
          <w:docGrid w:linePitch="360"/>
        </w:sectPr>
      </w:pPr>
    </w:p>
    <w:tbl>
      <w:tblPr>
        <w:tblW w:w="14307" w:type="dxa"/>
        <w:jc w:val="center"/>
        <w:tblLook w:val="04A0" w:firstRow="1" w:lastRow="0" w:firstColumn="1" w:lastColumn="0" w:noHBand="0" w:noVBand="1"/>
      </w:tblPr>
      <w:tblGrid>
        <w:gridCol w:w="976"/>
        <w:gridCol w:w="2388"/>
        <w:gridCol w:w="3005"/>
        <w:gridCol w:w="934"/>
        <w:gridCol w:w="1116"/>
        <w:gridCol w:w="905"/>
        <w:gridCol w:w="2284"/>
        <w:gridCol w:w="1427"/>
        <w:gridCol w:w="1272"/>
      </w:tblGrid>
      <w:tr w:rsidR="00EA4274" w14:paraId="55DBA5D4" w14:textId="77777777" w:rsidTr="00943143">
        <w:trPr>
          <w:trHeight w:val="480"/>
          <w:jc w:val="center"/>
        </w:trPr>
        <w:tc>
          <w:tcPr>
            <w:tcW w:w="976" w:type="dxa"/>
            <w:tcBorders>
              <w:top w:val="nil"/>
              <w:left w:val="single" w:sz="8" w:space="0" w:color="auto"/>
              <w:bottom w:val="single" w:sz="4" w:space="0" w:color="auto"/>
              <w:right w:val="single" w:sz="4" w:space="0" w:color="auto"/>
            </w:tcBorders>
            <w:shd w:val="clear" w:color="000000" w:fill="EEECE1"/>
            <w:vAlign w:val="center"/>
            <w:hideMark/>
          </w:tcPr>
          <w:p w14:paraId="55DBA5CB"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Risk No. (Rnn)</w:t>
            </w:r>
          </w:p>
        </w:tc>
        <w:tc>
          <w:tcPr>
            <w:tcW w:w="2388" w:type="dxa"/>
            <w:tcBorders>
              <w:top w:val="nil"/>
              <w:left w:val="nil"/>
              <w:bottom w:val="single" w:sz="4" w:space="0" w:color="auto"/>
              <w:right w:val="single" w:sz="4" w:space="0" w:color="auto"/>
            </w:tcBorders>
            <w:shd w:val="clear" w:color="000000" w:fill="EEECE1"/>
            <w:vAlign w:val="center"/>
            <w:hideMark/>
          </w:tcPr>
          <w:p w14:paraId="55DBA5CC"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Description</w:t>
            </w:r>
          </w:p>
        </w:tc>
        <w:tc>
          <w:tcPr>
            <w:tcW w:w="3005" w:type="dxa"/>
            <w:tcBorders>
              <w:top w:val="nil"/>
              <w:left w:val="nil"/>
              <w:bottom w:val="single" w:sz="4" w:space="0" w:color="auto"/>
              <w:right w:val="single" w:sz="4" w:space="0" w:color="auto"/>
            </w:tcBorders>
            <w:shd w:val="clear" w:color="000000" w:fill="EEECE1"/>
            <w:vAlign w:val="center"/>
            <w:hideMark/>
          </w:tcPr>
          <w:p w14:paraId="55DBA5CD"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Controls in Place</w:t>
            </w:r>
          </w:p>
        </w:tc>
        <w:tc>
          <w:tcPr>
            <w:tcW w:w="934" w:type="dxa"/>
            <w:tcBorders>
              <w:top w:val="nil"/>
              <w:left w:val="nil"/>
              <w:bottom w:val="single" w:sz="4" w:space="0" w:color="auto"/>
              <w:right w:val="single" w:sz="4" w:space="0" w:color="auto"/>
            </w:tcBorders>
            <w:shd w:val="clear" w:color="000000" w:fill="EEECE1"/>
            <w:vAlign w:val="center"/>
            <w:hideMark/>
          </w:tcPr>
          <w:p w14:paraId="55DBA5CE"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Impact</w:t>
            </w:r>
          </w:p>
        </w:tc>
        <w:tc>
          <w:tcPr>
            <w:tcW w:w="1116" w:type="dxa"/>
            <w:tcBorders>
              <w:top w:val="nil"/>
              <w:left w:val="nil"/>
              <w:bottom w:val="single" w:sz="4" w:space="0" w:color="auto"/>
              <w:right w:val="single" w:sz="4" w:space="0" w:color="auto"/>
            </w:tcBorders>
            <w:shd w:val="clear" w:color="000000" w:fill="EEECE1"/>
            <w:vAlign w:val="center"/>
            <w:hideMark/>
          </w:tcPr>
          <w:p w14:paraId="55DBA5CF"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Likelihood</w:t>
            </w:r>
          </w:p>
        </w:tc>
        <w:tc>
          <w:tcPr>
            <w:tcW w:w="905" w:type="dxa"/>
            <w:tcBorders>
              <w:top w:val="nil"/>
              <w:left w:val="nil"/>
              <w:bottom w:val="single" w:sz="4" w:space="0" w:color="auto"/>
              <w:right w:val="single" w:sz="4" w:space="0" w:color="auto"/>
            </w:tcBorders>
            <w:shd w:val="clear" w:color="000000" w:fill="EEECE1"/>
            <w:vAlign w:val="center"/>
            <w:hideMark/>
          </w:tcPr>
          <w:p w14:paraId="55DBA5D0"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Matrix Score</w:t>
            </w:r>
          </w:p>
        </w:tc>
        <w:tc>
          <w:tcPr>
            <w:tcW w:w="2284" w:type="dxa"/>
            <w:tcBorders>
              <w:top w:val="nil"/>
              <w:left w:val="nil"/>
              <w:bottom w:val="single" w:sz="4" w:space="0" w:color="auto"/>
              <w:right w:val="single" w:sz="4" w:space="0" w:color="auto"/>
            </w:tcBorders>
            <w:shd w:val="clear" w:color="000000" w:fill="EEECE1"/>
            <w:vAlign w:val="center"/>
            <w:hideMark/>
          </w:tcPr>
          <w:p w14:paraId="55DBA5D1"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Actions Planned</w:t>
            </w:r>
          </w:p>
        </w:tc>
        <w:tc>
          <w:tcPr>
            <w:tcW w:w="1427" w:type="dxa"/>
            <w:tcBorders>
              <w:top w:val="nil"/>
              <w:left w:val="nil"/>
              <w:bottom w:val="single" w:sz="4" w:space="0" w:color="auto"/>
              <w:right w:val="single" w:sz="4" w:space="0" w:color="auto"/>
            </w:tcBorders>
            <w:shd w:val="clear" w:color="000000" w:fill="EEECE1"/>
            <w:vAlign w:val="center"/>
            <w:hideMark/>
          </w:tcPr>
          <w:p w14:paraId="55DBA5D2"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Action Owner</w:t>
            </w:r>
          </w:p>
        </w:tc>
        <w:tc>
          <w:tcPr>
            <w:tcW w:w="1272" w:type="dxa"/>
            <w:tcBorders>
              <w:top w:val="nil"/>
              <w:left w:val="nil"/>
              <w:bottom w:val="single" w:sz="4" w:space="0" w:color="auto"/>
              <w:right w:val="single" w:sz="4" w:space="0" w:color="auto"/>
            </w:tcBorders>
            <w:shd w:val="clear" w:color="000000" w:fill="EEECE1"/>
            <w:vAlign w:val="center"/>
            <w:hideMark/>
          </w:tcPr>
          <w:p w14:paraId="55DBA5D3" w14:textId="77777777" w:rsidR="00943143" w:rsidRPr="00592E85" w:rsidRDefault="0095082E"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Target Action Date</w:t>
            </w:r>
          </w:p>
        </w:tc>
      </w:tr>
      <w:tr w:rsidR="00EA4274" w14:paraId="55DBA5F0" w14:textId="77777777" w:rsidTr="00943143">
        <w:trPr>
          <w:trHeight w:val="1200"/>
          <w:jc w:val="center"/>
        </w:trPr>
        <w:tc>
          <w:tcPr>
            <w:tcW w:w="976" w:type="dxa"/>
            <w:tcBorders>
              <w:top w:val="nil"/>
              <w:left w:val="single" w:sz="8" w:space="0" w:color="auto"/>
              <w:bottom w:val="single" w:sz="4" w:space="0" w:color="auto"/>
              <w:right w:val="single" w:sz="4" w:space="0" w:color="auto"/>
            </w:tcBorders>
            <w:shd w:val="clear" w:color="auto" w:fill="auto"/>
            <w:hideMark/>
          </w:tcPr>
          <w:p w14:paraId="55DBA5D5"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R1</w:t>
            </w:r>
          </w:p>
        </w:tc>
        <w:tc>
          <w:tcPr>
            <w:tcW w:w="2388" w:type="dxa"/>
            <w:tcBorders>
              <w:top w:val="single" w:sz="4" w:space="0" w:color="auto"/>
              <w:left w:val="nil"/>
              <w:bottom w:val="single" w:sz="4" w:space="0" w:color="auto"/>
              <w:right w:val="single" w:sz="4" w:space="0" w:color="auto"/>
            </w:tcBorders>
            <w:shd w:val="clear" w:color="auto" w:fill="auto"/>
            <w:hideMark/>
          </w:tcPr>
          <w:p w14:paraId="55DBA5D6"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Organisational disruption and impact on </w:t>
            </w:r>
            <w:r w:rsidRPr="00592E85">
              <w:rPr>
                <w:rFonts w:ascii="Arial" w:eastAsia="Times New Roman" w:hAnsi="Arial" w:cs="Arial"/>
                <w:sz w:val="18"/>
                <w:szCs w:val="18"/>
                <w:lang w:eastAsia="en-GB"/>
              </w:rPr>
              <w:br/>
              <w:t>performance and service delivery</w:t>
            </w:r>
          </w:p>
        </w:tc>
        <w:tc>
          <w:tcPr>
            <w:tcW w:w="3005" w:type="dxa"/>
            <w:tcBorders>
              <w:top w:val="nil"/>
              <w:left w:val="single" w:sz="4" w:space="0" w:color="auto"/>
              <w:bottom w:val="nil"/>
              <w:right w:val="nil"/>
            </w:tcBorders>
            <w:shd w:val="clear" w:color="auto" w:fill="auto"/>
            <w:hideMark/>
          </w:tcPr>
          <w:p w14:paraId="55DBA5D7" w14:textId="77777777" w:rsidR="00943143"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Performance </w:t>
            </w:r>
            <w:r w:rsidRPr="00592E85">
              <w:rPr>
                <w:rFonts w:ascii="Arial" w:eastAsia="Times New Roman" w:hAnsi="Arial" w:cs="Arial"/>
                <w:sz w:val="18"/>
                <w:szCs w:val="18"/>
                <w:lang w:eastAsia="en-GB"/>
              </w:rPr>
              <w:br/>
              <w:t xml:space="preserve">management mechanisms have been strengthened to ensure close corporate oversight throughout any </w:t>
            </w:r>
            <w:r>
              <w:rPr>
                <w:rFonts w:ascii="Arial" w:eastAsia="Times New Roman" w:hAnsi="Arial" w:cs="Arial"/>
                <w:sz w:val="18"/>
                <w:szCs w:val="18"/>
                <w:lang w:eastAsia="en-GB"/>
              </w:rPr>
              <w:t xml:space="preserve">shared services changes. </w:t>
            </w:r>
          </w:p>
          <w:p w14:paraId="55DBA5D8" w14:textId="77777777" w:rsidR="004652B5" w:rsidRPr="00592E85" w:rsidRDefault="00425003" w:rsidP="00592E85">
            <w:pPr>
              <w:spacing w:after="0" w:line="240" w:lineRule="auto"/>
              <w:rPr>
                <w:rFonts w:ascii="Arial" w:eastAsia="Times New Roman" w:hAnsi="Arial" w:cs="Arial"/>
                <w:sz w:val="18"/>
                <w:szCs w:val="18"/>
                <w:lang w:eastAsia="en-GB"/>
              </w:rPr>
            </w:pPr>
          </w:p>
        </w:tc>
        <w:tc>
          <w:tcPr>
            <w:tcW w:w="934" w:type="dxa"/>
            <w:tcBorders>
              <w:top w:val="nil"/>
              <w:left w:val="single" w:sz="4" w:space="0" w:color="auto"/>
              <w:bottom w:val="single" w:sz="4" w:space="0" w:color="auto"/>
              <w:right w:val="single" w:sz="4" w:space="0" w:color="auto"/>
            </w:tcBorders>
            <w:shd w:val="clear" w:color="auto" w:fill="auto"/>
            <w:hideMark/>
          </w:tcPr>
          <w:p w14:paraId="55DBA5D9"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55DBA5DA"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55DBA5DB"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9</w:t>
            </w:r>
          </w:p>
        </w:tc>
        <w:tc>
          <w:tcPr>
            <w:tcW w:w="2284" w:type="dxa"/>
            <w:tcBorders>
              <w:top w:val="nil"/>
              <w:left w:val="nil"/>
              <w:bottom w:val="single" w:sz="4" w:space="0" w:color="auto"/>
              <w:right w:val="single" w:sz="4" w:space="0" w:color="auto"/>
            </w:tcBorders>
            <w:shd w:val="clear" w:color="auto" w:fill="auto"/>
            <w:hideMark/>
          </w:tcPr>
          <w:p w14:paraId="55DBA5DC" w14:textId="77777777" w:rsidR="00943143"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A delivery programme will </w:t>
            </w:r>
            <w:r>
              <w:rPr>
                <w:rFonts w:ascii="Arial" w:eastAsia="Times New Roman" w:hAnsi="Arial" w:cs="Arial"/>
                <w:sz w:val="18"/>
                <w:szCs w:val="18"/>
                <w:lang w:eastAsia="en-GB"/>
              </w:rPr>
              <w:t xml:space="preserve">be </w:t>
            </w:r>
            <w:r w:rsidRPr="00592E85">
              <w:rPr>
                <w:rFonts w:ascii="Arial" w:eastAsia="Times New Roman" w:hAnsi="Arial" w:cs="Arial"/>
                <w:sz w:val="18"/>
                <w:szCs w:val="18"/>
                <w:lang w:eastAsia="en-GB"/>
              </w:rPr>
              <w:t>developed with clear timescales and milestones, supported by the transformation team to minimise impact across the councils</w:t>
            </w:r>
          </w:p>
          <w:p w14:paraId="55DBA5DD" w14:textId="77777777" w:rsidR="00B4211F" w:rsidRDefault="00425003" w:rsidP="00592E85">
            <w:pPr>
              <w:spacing w:after="0" w:line="240" w:lineRule="auto"/>
              <w:rPr>
                <w:rFonts w:ascii="Arial" w:eastAsia="Times New Roman" w:hAnsi="Arial" w:cs="Arial"/>
                <w:sz w:val="18"/>
                <w:szCs w:val="18"/>
                <w:lang w:eastAsia="en-GB"/>
              </w:rPr>
            </w:pPr>
          </w:p>
          <w:p w14:paraId="55DBA5DE" w14:textId="77777777" w:rsidR="00B4211F" w:rsidRDefault="0095082E"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 reviewed monitoring approach for Shared Services has been proposed to SSJC to allow for more frequent reporting as we move into implementing Phase 2 services. </w:t>
            </w:r>
          </w:p>
          <w:p w14:paraId="55DBA5DF" w14:textId="77777777" w:rsidR="00B4211F" w:rsidRDefault="00425003" w:rsidP="00592E85">
            <w:pPr>
              <w:spacing w:after="0" w:line="240" w:lineRule="auto"/>
              <w:rPr>
                <w:rFonts w:ascii="Arial" w:eastAsia="Times New Roman" w:hAnsi="Arial" w:cs="Arial"/>
                <w:sz w:val="18"/>
                <w:szCs w:val="18"/>
                <w:lang w:eastAsia="en-GB"/>
              </w:rPr>
            </w:pPr>
          </w:p>
          <w:p w14:paraId="55DBA5E0" w14:textId="77777777" w:rsidR="00B4211F" w:rsidRPr="00592E85" w:rsidRDefault="0095082E"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Additional capacity has been proposed for the Customer Services and Revenues &amp; Benefits Review to minimise the risk of service disruption during the transformation to a single operating model. </w:t>
            </w:r>
          </w:p>
        </w:tc>
        <w:tc>
          <w:tcPr>
            <w:tcW w:w="1427" w:type="dxa"/>
            <w:tcBorders>
              <w:top w:val="nil"/>
              <w:left w:val="nil"/>
              <w:bottom w:val="single" w:sz="4" w:space="0" w:color="auto"/>
              <w:right w:val="single" w:sz="4" w:space="0" w:color="auto"/>
            </w:tcBorders>
            <w:shd w:val="clear" w:color="auto" w:fill="auto"/>
            <w:hideMark/>
          </w:tcPr>
          <w:p w14:paraId="55DBA5E1"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Transformation </w:t>
            </w:r>
          </w:p>
        </w:tc>
        <w:tc>
          <w:tcPr>
            <w:tcW w:w="1272" w:type="dxa"/>
            <w:tcBorders>
              <w:top w:val="nil"/>
              <w:left w:val="nil"/>
              <w:bottom w:val="single" w:sz="4" w:space="0" w:color="auto"/>
              <w:right w:val="single" w:sz="4" w:space="0" w:color="auto"/>
            </w:tcBorders>
            <w:shd w:val="clear" w:color="auto" w:fill="auto"/>
            <w:hideMark/>
          </w:tcPr>
          <w:p w14:paraId="55DBA5E2" w14:textId="77777777" w:rsidR="00943143"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Completed</w:t>
            </w:r>
          </w:p>
          <w:p w14:paraId="55DBA5E3" w14:textId="77777777" w:rsidR="00B4211F" w:rsidRDefault="00425003" w:rsidP="00592E85">
            <w:pPr>
              <w:spacing w:after="0" w:line="240" w:lineRule="auto"/>
              <w:rPr>
                <w:rFonts w:ascii="Arial" w:eastAsia="Times New Roman" w:hAnsi="Arial" w:cs="Arial"/>
                <w:sz w:val="18"/>
                <w:szCs w:val="18"/>
                <w:lang w:eastAsia="en-GB"/>
              </w:rPr>
            </w:pPr>
          </w:p>
          <w:p w14:paraId="55DBA5E4" w14:textId="77777777" w:rsidR="00B4211F" w:rsidRDefault="00425003" w:rsidP="00592E85">
            <w:pPr>
              <w:spacing w:after="0" w:line="240" w:lineRule="auto"/>
              <w:rPr>
                <w:rFonts w:ascii="Arial" w:eastAsia="Times New Roman" w:hAnsi="Arial" w:cs="Arial"/>
                <w:sz w:val="18"/>
                <w:szCs w:val="18"/>
                <w:lang w:eastAsia="en-GB"/>
              </w:rPr>
            </w:pPr>
          </w:p>
          <w:p w14:paraId="55DBA5E5" w14:textId="77777777" w:rsidR="00B4211F" w:rsidRDefault="00425003" w:rsidP="00592E85">
            <w:pPr>
              <w:spacing w:after="0" w:line="240" w:lineRule="auto"/>
              <w:rPr>
                <w:rFonts w:ascii="Arial" w:eastAsia="Times New Roman" w:hAnsi="Arial" w:cs="Arial"/>
                <w:sz w:val="18"/>
                <w:szCs w:val="18"/>
                <w:lang w:eastAsia="en-GB"/>
              </w:rPr>
            </w:pPr>
          </w:p>
          <w:p w14:paraId="55DBA5E6" w14:textId="77777777" w:rsidR="00B4211F" w:rsidRDefault="00425003" w:rsidP="00592E85">
            <w:pPr>
              <w:spacing w:after="0" w:line="240" w:lineRule="auto"/>
              <w:rPr>
                <w:rFonts w:ascii="Arial" w:eastAsia="Times New Roman" w:hAnsi="Arial" w:cs="Arial"/>
                <w:sz w:val="18"/>
                <w:szCs w:val="18"/>
                <w:lang w:eastAsia="en-GB"/>
              </w:rPr>
            </w:pPr>
          </w:p>
          <w:p w14:paraId="55DBA5E7" w14:textId="77777777" w:rsidR="00B4211F" w:rsidRDefault="00425003" w:rsidP="00592E85">
            <w:pPr>
              <w:spacing w:after="0" w:line="240" w:lineRule="auto"/>
              <w:rPr>
                <w:rFonts w:ascii="Arial" w:eastAsia="Times New Roman" w:hAnsi="Arial" w:cs="Arial"/>
                <w:sz w:val="18"/>
                <w:szCs w:val="18"/>
                <w:lang w:eastAsia="en-GB"/>
              </w:rPr>
            </w:pPr>
          </w:p>
          <w:p w14:paraId="55DBA5E8" w14:textId="77777777" w:rsidR="00B4211F" w:rsidRDefault="00425003" w:rsidP="00592E85">
            <w:pPr>
              <w:spacing w:after="0" w:line="240" w:lineRule="auto"/>
              <w:rPr>
                <w:rFonts w:ascii="Arial" w:eastAsia="Times New Roman" w:hAnsi="Arial" w:cs="Arial"/>
                <w:sz w:val="18"/>
                <w:szCs w:val="18"/>
                <w:lang w:eastAsia="en-GB"/>
              </w:rPr>
            </w:pPr>
          </w:p>
          <w:p w14:paraId="55DBA5E9" w14:textId="77777777" w:rsidR="00B4211F" w:rsidRDefault="00425003" w:rsidP="00592E85">
            <w:pPr>
              <w:spacing w:after="0" w:line="240" w:lineRule="auto"/>
              <w:rPr>
                <w:rFonts w:ascii="Arial" w:eastAsia="Times New Roman" w:hAnsi="Arial" w:cs="Arial"/>
                <w:sz w:val="18"/>
                <w:szCs w:val="18"/>
                <w:lang w:eastAsia="en-GB"/>
              </w:rPr>
            </w:pPr>
          </w:p>
          <w:p w14:paraId="55DBA5EA" w14:textId="77777777" w:rsidR="00B4211F" w:rsidRDefault="0095082E"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progress- to be agreed December 21 </w:t>
            </w:r>
          </w:p>
          <w:p w14:paraId="55DBA5EB" w14:textId="77777777" w:rsidR="00B4211F" w:rsidRDefault="00425003" w:rsidP="00592E85">
            <w:pPr>
              <w:spacing w:after="0" w:line="240" w:lineRule="auto"/>
              <w:rPr>
                <w:rFonts w:ascii="Arial" w:eastAsia="Times New Roman" w:hAnsi="Arial" w:cs="Arial"/>
                <w:sz w:val="18"/>
                <w:szCs w:val="18"/>
                <w:lang w:eastAsia="en-GB"/>
              </w:rPr>
            </w:pPr>
          </w:p>
          <w:p w14:paraId="55DBA5EC" w14:textId="77777777" w:rsidR="00B4211F" w:rsidRDefault="00425003" w:rsidP="00592E85">
            <w:pPr>
              <w:spacing w:after="0" w:line="240" w:lineRule="auto"/>
              <w:rPr>
                <w:rFonts w:ascii="Arial" w:eastAsia="Times New Roman" w:hAnsi="Arial" w:cs="Arial"/>
                <w:sz w:val="18"/>
                <w:szCs w:val="18"/>
                <w:lang w:eastAsia="en-GB"/>
              </w:rPr>
            </w:pPr>
          </w:p>
          <w:p w14:paraId="55DBA5ED" w14:textId="77777777" w:rsidR="00B4211F" w:rsidRDefault="00425003" w:rsidP="00592E85">
            <w:pPr>
              <w:spacing w:after="0" w:line="240" w:lineRule="auto"/>
              <w:rPr>
                <w:rFonts w:ascii="Arial" w:eastAsia="Times New Roman" w:hAnsi="Arial" w:cs="Arial"/>
                <w:sz w:val="18"/>
                <w:szCs w:val="18"/>
                <w:lang w:eastAsia="en-GB"/>
              </w:rPr>
            </w:pPr>
          </w:p>
          <w:p w14:paraId="55DBA5EE" w14:textId="77777777" w:rsidR="00B4211F" w:rsidRDefault="00425003" w:rsidP="00592E85">
            <w:pPr>
              <w:spacing w:after="0" w:line="240" w:lineRule="auto"/>
              <w:rPr>
                <w:rFonts w:ascii="Arial" w:eastAsia="Times New Roman" w:hAnsi="Arial" w:cs="Arial"/>
                <w:sz w:val="18"/>
                <w:szCs w:val="18"/>
                <w:lang w:eastAsia="en-GB"/>
              </w:rPr>
            </w:pPr>
          </w:p>
          <w:p w14:paraId="55DBA5EF" w14:textId="77777777" w:rsidR="00B4211F" w:rsidRPr="00592E85" w:rsidRDefault="0095082E"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progress- to be agreed following consultation in Jan 22. </w:t>
            </w:r>
          </w:p>
        </w:tc>
      </w:tr>
      <w:tr w:rsidR="00EA4274" w14:paraId="55DBA600" w14:textId="77777777" w:rsidTr="00943143">
        <w:trPr>
          <w:trHeight w:val="1440"/>
          <w:jc w:val="center"/>
        </w:trPr>
        <w:tc>
          <w:tcPr>
            <w:tcW w:w="976" w:type="dxa"/>
            <w:tcBorders>
              <w:top w:val="nil"/>
              <w:left w:val="single" w:sz="8" w:space="0" w:color="auto"/>
              <w:bottom w:val="single" w:sz="4" w:space="0" w:color="auto"/>
              <w:right w:val="single" w:sz="4" w:space="0" w:color="auto"/>
            </w:tcBorders>
            <w:shd w:val="clear" w:color="auto" w:fill="auto"/>
            <w:hideMark/>
          </w:tcPr>
          <w:p w14:paraId="55DBA5F1"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R2</w:t>
            </w:r>
          </w:p>
        </w:tc>
        <w:tc>
          <w:tcPr>
            <w:tcW w:w="2388" w:type="dxa"/>
            <w:tcBorders>
              <w:top w:val="single" w:sz="4" w:space="0" w:color="auto"/>
              <w:left w:val="nil"/>
              <w:bottom w:val="single" w:sz="4" w:space="0" w:color="auto"/>
              <w:right w:val="single" w:sz="4" w:space="0" w:color="auto"/>
            </w:tcBorders>
            <w:shd w:val="clear" w:color="auto" w:fill="auto"/>
            <w:hideMark/>
          </w:tcPr>
          <w:p w14:paraId="55DBA5F2"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Staff uncertainty and impact on workforce wellbeing </w:t>
            </w:r>
          </w:p>
        </w:tc>
        <w:tc>
          <w:tcPr>
            <w:tcW w:w="3005" w:type="dxa"/>
            <w:tcBorders>
              <w:top w:val="single" w:sz="4" w:space="0" w:color="auto"/>
              <w:left w:val="nil"/>
              <w:bottom w:val="single" w:sz="4" w:space="0" w:color="auto"/>
              <w:right w:val="single" w:sz="4" w:space="0" w:color="auto"/>
            </w:tcBorders>
            <w:shd w:val="clear" w:color="auto" w:fill="auto"/>
            <w:hideMark/>
          </w:tcPr>
          <w:p w14:paraId="55DBA5F3"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Staff will be fully engaged and consulted throughout the changes, both informally and formally in line with the refreshed Change Policy.  </w:t>
            </w:r>
          </w:p>
        </w:tc>
        <w:tc>
          <w:tcPr>
            <w:tcW w:w="934" w:type="dxa"/>
            <w:tcBorders>
              <w:top w:val="nil"/>
              <w:left w:val="nil"/>
              <w:bottom w:val="single" w:sz="4" w:space="0" w:color="auto"/>
              <w:right w:val="single" w:sz="4" w:space="0" w:color="auto"/>
            </w:tcBorders>
            <w:shd w:val="clear" w:color="auto" w:fill="auto"/>
            <w:hideMark/>
          </w:tcPr>
          <w:p w14:paraId="55DBA5F4"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55DBA5F5"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55DBA5F6"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9</w:t>
            </w:r>
          </w:p>
        </w:tc>
        <w:tc>
          <w:tcPr>
            <w:tcW w:w="2284" w:type="dxa"/>
            <w:tcBorders>
              <w:top w:val="nil"/>
              <w:left w:val="nil"/>
              <w:bottom w:val="single" w:sz="4" w:space="0" w:color="auto"/>
              <w:right w:val="single" w:sz="4" w:space="0" w:color="auto"/>
            </w:tcBorders>
            <w:shd w:val="clear" w:color="auto" w:fill="auto"/>
            <w:hideMark/>
          </w:tcPr>
          <w:p w14:paraId="55DBA5F7" w14:textId="77777777" w:rsidR="00943143"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Specific training and support plans will be put in place for </w:t>
            </w:r>
            <w:r>
              <w:rPr>
                <w:rFonts w:ascii="Arial" w:eastAsia="Times New Roman" w:hAnsi="Arial" w:cs="Arial"/>
                <w:sz w:val="18"/>
                <w:szCs w:val="18"/>
                <w:lang w:eastAsia="en-GB"/>
              </w:rPr>
              <w:t>all staff</w:t>
            </w:r>
            <w:r w:rsidRPr="00592E85">
              <w:rPr>
                <w:rFonts w:ascii="Arial" w:eastAsia="Times New Roman" w:hAnsi="Arial" w:cs="Arial"/>
                <w:sz w:val="18"/>
                <w:szCs w:val="18"/>
                <w:lang w:eastAsia="en-GB"/>
              </w:rPr>
              <w:t xml:space="preserve"> as well as leadership support for senior management. </w:t>
            </w:r>
          </w:p>
          <w:p w14:paraId="55DBA5F8" w14:textId="77777777" w:rsidR="004652B5" w:rsidRDefault="00425003" w:rsidP="00592E85">
            <w:pPr>
              <w:spacing w:after="0" w:line="240" w:lineRule="auto"/>
              <w:rPr>
                <w:rFonts w:ascii="Arial" w:eastAsia="Times New Roman" w:hAnsi="Arial" w:cs="Arial"/>
                <w:sz w:val="18"/>
                <w:szCs w:val="18"/>
                <w:lang w:eastAsia="en-GB"/>
              </w:rPr>
            </w:pPr>
          </w:p>
          <w:p w14:paraId="55DBA5F9" w14:textId="77777777" w:rsidR="004652B5" w:rsidRDefault="0095082E"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Lessons learned have been incorporated into the shared Change Policy to ensure that managers follow consistent restructure processes with realistic timescales. </w:t>
            </w:r>
          </w:p>
          <w:p w14:paraId="55DBA5FA" w14:textId="77777777" w:rsidR="004652B5" w:rsidRDefault="00425003" w:rsidP="00592E85">
            <w:pPr>
              <w:spacing w:after="0" w:line="240" w:lineRule="auto"/>
              <w:rPr>
                <w:rFonts w:ascii="Arial" w:eastAsia="Times New Roman" w:hAnsi="Arial" w:cs="Arial"/>
                <w:sz w:val="18"/>
                <w:szCs w:val="18"/>
                <w:lang w:eastAsia="en-GB"/>
              </w:rPr>
            </w:pPr>
          </w:p>
          <w:p w14:paraId="55DBA5FB" w14:textId="77777777" w:rsidR="004652B5" w:rsidRDefault="0095082E"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Additional learning and development support is available for teams where there has been a large impact from change. </w:t>
            </w:r>
          </w:p>
          <w:p w14:paraId="55DBA5FC" w14:textId="77777777" w:rsidR="004652B5" w:rsidRDefault="00425003" w:rsidP="00592E85">
            <w:pPr>
              <w:spacing w:after="0" w:line="240" w:lineRule="auto"/>
              <w:rPr>
                <w:rFonts w:ascii="Arial" w:eastAsia="Times New Roman" w:hAnsi="Arial" w:cs="Arial"/>
                <w:sz w:val="18"/>
                <w:szCs w:val="18"/>
                <w:lang w:eastAsia="en-GB"/>
              </w:rPr>
            </w:pPr>
          </w:p>
          <w:p w14:paraId="55DBA5FD" w14:textId="77777777" w:rsidR="004652B5" w:rsidRPr="00592E85" w:rsidRDefault="0095082E"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Events are being planned to encourage more face-to-face interaction and communication between shared services colleagues and staff from across both organisations. This will help to develop a shared culture with a strong focus on wellbeing and support. </w:t>
            </w:r>
          </w:p>
        </w:tc>
        <w:tc>
          <w:tcPr>
            <w:tcW w:w="1427" w:type="dxa"/>
            <w:tcBorders>
              <w:top w:val="nil"/>
              <w:left w:val="nil"/>
              <w:bottom w:val="single" w:sz="4" w:space="0" w:color="auto"/>
              <w:right w:val="single" w:sz="4" w:space="0" w:color="auto"/>
            </w:tcBorders>
            <w:shd w:val="clear" w:color="auto" w:fill="auto"/>
            <w:hideMark/>
          </w:tcPr>
          <w:p w14:paraId="55DBA5FE"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Project Team/ HR &amp; OD </w:t>
            </w:r>
          </w:p>
        </w:tc>
        <w:tc>
          <w:tcPr>
            <w:tcW w:w="1272" w:type="dxa"/>
            <w:tcBorders>
              <w:top w:val="nil"/>
              <w:left w:val="nil"/>
              <w:bottom w:val="single" w:sz="4" w:space="0" w:color="auto"/>
              <w:right w:val="single" w:sz="4" w:space="0" w:color="auto"/>
            </w:tcBorders>
            <w:shd w:val="clear" w:color="auto" w:fill="auto"/>
            <w:hideMark/>
          </w:tcPr>
          <w:p w14:paraId="55DBA5FF" w14:textId="77777777" w:rsidR="00943143" w:rsidRPr="00592E85" w:rsidRDefault="0095082E"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Ongoing</w:t>
            </w:r>
          </w:p>
        </w:tc>
      </w:tr>
      <w:tr w:rsidR="00EA4274" w14:paraId="55DBA60A" w14:textId="77777777" w:rsidTr="00943143">
        <w:trPr>
          <w:trHeight w:val="2160"/>
          <w:jc w:val="center"/>
        </w:trPr>
        <w:tc>
          <w:tcPr>
            <w:tcW w:w="976" w:type="dxa"/>
            <w:tcBorders>
              <w:top w:val="nil"/>
              <w:left w:val="single" w:sz="8" w:space="0" w:color="auto"/>
              <w:bottom w:val="single" w:sz="4" w:space="0" w:color="auto"/>
              <w:right w:val="single" w:sz="4" w:space="0" w:color="auto"/>
            </w:tcBorders>
            <w:shd w:val="clear" w:color="auto" w:fill="auto"/>
            <w:hideMark/>
          </w:tcPr>
          <w:p w14:paraId="55DBA601"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R3</w:t>
            </w:r>
          </w:p>
        </w:tc>
        <w:tc>
          <w:tcPr>
            <w:tcW w:w="2388" w:type="dxa"/>
            <w:tcBorders>
              <w:top w:val="single" w:sz="4" w:space="0" w:color="auto"/>
              <w:left w:val="nil"/>
              <w:bottom w:val="single" w:sz="4" w:space="0" w:color="auto"/>
              <w:right w:val="single" w:sz="4" w:space="0" w:color="auto"/>
            </w:tcBorders>
            <w:shd w:val="clear" w:color="auto" w:fill="auto"/>
            <w:hideMark/>
          </w:tcPr>
          <w:p w14:paraId="55DBA602"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Wider strategic changes to local government structures </w:t>
            </w:r>
          </w:p>
        </w:tc>
        <w:tc>
          <w:tcPr>
            <w:tcW w:w="3005" w:type="dxa"/>
            <w:tcBorders>
              <w:top w:val="nil"/>
              <w:left w:val="nil"/>
              <w:bottom w:val="single" w:sz="4" w:space="0" w:color="auto"/>
              <w:right w:val="single" w:sz="4" w:space="0" w:color="auto"/>
            </w:tcBorders>
            <w:shd w:val="clear" w:color="auto" w:fill="auto"/>
            <w:hideMark/>
          </w:tcPr>
          <w:p w14:paraId="55DBA603"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Both organisations are fully engaged and working proactively to understand the implications of local government reorganisation</w:t>
            </w:r>
            <w:r>
              <w:rPr>
                <w:rFonts w:ascii="Arial" w:eastAsia="Times New Roman" w:hAnsi="Arial" w:cs="Arial"/>
                <w:sz w:val="18"/>
                <w:szCs w:val="18"/>
                <w:lang w:eastAsia="en-GB"/>
              </w:rPr>
              <w:t xml:space="preserve">. Shared services helps to </w:t>
            </w:r>
            <w:r w:rsidRPr="00592E85">
              <w:rPr>
                <w:rFonts w:ascii="Arial" w:eastAsia="Times New Roman" w:hAnsi="Arial" w:cs="Arial"/>
                <w:sz w:val="18"/>
                <w:szCs w:val="18"/>
                <w:lang w:eastAsia="en-GB"/>
              </w:rPr>
              <w:t>strengthen the strategic position of both councils and the ability to influence and shape change through greater scale.</w:t>
            </w:r>
          </w:p>
        </w:tc>
        <w:tc>
          <w:tcPr>
            <w:tcW w:w="934" w:type="dxa"/>
            <w:tcBorders>
              <w:top w:val="nil"/>
              <w:left w:val="nil"/>
              <w:bottom w:val="single" w:sz="4" w:space="0" w:color="auto"/>
              <w:right w:val="single" w:sz="4" w:space="0" w:color="auto"/>
            </w:tcBorders>
            <w:shd w:val="clear" w:color="auto" w:fill="auto"/>
            <w:hideMark/>
          </w:tcPr>
          <w:p w14:paraId="55DBA604"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55DBA605"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2</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55DBA606" w14:textId="77777777" w:rsidR="00943143" w:rsidRPr="00592E85" w:rsidRDefault="0095082E"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6</w:t>
            </w:r>
          </w:p>
        </w:tc>
        <w:tc>
          <w:tcPr>
            <w:tcW w:w="2284" w:type="dxa"/>
            <w:tcBorders>
              <w:top w:val="nil"/>
              <w:left w:val="nil"/>
              <w:bottom w:val="single" w:sz="4" w:space="0" w:color="auto"/>
              <w:right w:val="single" w:sz="4" w:space="0" w:color="auto"/>
            </w:tcBorders>
            <w:shd w:val="clear" w:color="auto" w:fill="auto"/>
            <w:hideMark/>
          </w:tcPr>
          <w:p w14:paraId="55DBA607" w14:textId="77777777" w:rsidR="00943143" w:rsidRPr="00592E85" w:rsidRDefault="00425003" w:rsidP="00592E85">
            <w:pPr>
              <w:spacing w:after="0" w:line="240" w:lineRule="auto"/>
              <w:rPr>
                <w:rFonts w:ascii="Arial" w:eastAsia="Times New Roman" w:hAnsi="Arial" w:cs="Arial"/>
                <w:sz w:val="18"/>
                <w:szCs w:val="18"/>
                <w:lang w:eastAsia="en-GB"/>
              </w:rPr>
            </w:pPr>
          </w:p>
        </w:tc>
        <w:tc>
          <w:tcPr>
            <w:tcW w:w="1427" w:type="dxa"/>
            <w:tcBorders>
              <w:top w:val="nil"/>
              <w:left w:val="nil"/>
              <w:bottom w:val="single" w:sz="4" w:space="0" w:color="auto"/>
              <w:right w:val="single" w:sz="4" w:space="0" w:color="auto"/>
            </w:tcBorders>
            <w:shd w:val="clear" w:color="auto" w:fill="auto"/>
            <w:hideMark/>
          </w:tcPr>
          <w:p w14:paraId="55DBA608" w14:textId="77777777" w:rsidR="00943143" w:rsidRPr="00592E85" w:rsidRDefault="0095082E" w:rsidP="00592E85">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55DBA609" w14:textId="77777777" w:rsidR="00943143" w:rsidRPr="00592E85" w:rsidRDefault="0095082E"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EA4274" w14:paraId="55DBA614" w14:textId="77777777" w:rsidTr="00943143">
        <w:trPr>
          <w:trHeight w:val="2160"/>
          <w:jc w:val="center"/>
        </w:trPr>
        <w:tc>
          <w:tcPr>
            <w:tcW w:w="976" w:type="dxa"/>
            <w:tcBorders>
              <w:top w:val="nil"/>
              <w:left w:val="single" w:sz="8" w:space="0" w:color="auto"/>
              <w:bottom w:val="single" w:sz="4" w:space="0" w:color="auto"/>
              <w:right w:val="single" w:sz="4" w:space="0" w:color="auto"/>
            </w:tcBorders>
            <w:shd w:val="clear" w:color="auto" w:fill="auto"/>
          </w:tcPr>
          <w:p w14:paraId="55DBA60B"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4</w:t>
            </w:r>
          </w:p>
        </w:tc>
        <w:tc>
          <w:tcPr>
            <w:tcW w:w="2388" w:type="dxa"/>
            <w:tcBorders>
              <w:top w:val="single" w:sz="4" w:space="0" w:color="auto"/>
              <w:left w:val="nil"/>
              <w:bottom w:val="single" w:sz="4" w:space="0" w:color="auto"/>
              <w:right w:val="single" w:sz="4" w:space="0" w:color="auto"/>
            </w:tcBorders>
            <w:shd w:val="clear" w:color="auto" w:fill="auto"/>
          </w:tcPr>
          <w:p w14:paraId="55DBA60C"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Change in political control leading to </w:t>
            </w:r>
            <w:r>
              <w:rPr>
                <w:rFonts w:ascii="Arial" w:eastAsia="Times New Roman" w:hAnsi="Arial" w:cs="Arial"/>
                <w:sz w:val="18"/>
                <w:szCs w:val="18"/>
                <w:lang w:eastAsia="en-GB"/>
              </w:rPr>
              <w:t xml:space="preserve">a lack of </w:t>
            </w:r>
            <w:r w:rsidRPr="00592E85">
              <w:rPr>
                <w:rFonts w:ascii="Arial" w:eastAsia="Times New Roman" w:hAnsi="Arial" w:cs="Arial"/>
                <w:sz w:val="18"/>
                <w:szCs w:val="18"/>
                <w:lang w:eastAsia="en-GB"/>
              </w:rPr>
              <w:t xml:space="preserve">cross party support </w:t>
            </w:r>
          </w:p>
        </w:tc>
        <w:tc>
          <w:tcPr>
            <w:tcW w:w="3005" w:type="dxa"/>
            <w:tcBorders>
              <w:top w:val="nil"/>
              <w:left w:val="nil"/>
              <w:bottom w:val="single" w:sz="4" w:space="0" w:color="auto"/>
              <w:right w:val="single" w:sz="4" w:space="0" w:color="auto"/>
            </w:tcBorders>
            <w:shd w:val="clear" w:color="auto" w:fill="auto"/>
          </w:tcPr>
          <w:p w14:paraId="55DBA60D"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Arrangements specified in the shared services agreement including an extended agreement and exit arrangements</w:t>
            </w:r>
            <w:r>
              <w:rPr>
                <w:rFonts w:ascii="Arial" w:eastAsia="Times New Roman" w:hAnsi="Arial" w:cs="Arial"/>
                <w:sz w:val="18"/>
                <w:szCs w:val="18"/>
                <w:lang w:eastAsia="en-GB"/>
              </w:rPr>
              <w:t xml:space="preserve">. </w:t>
            </w:r>
          </w:p>
        </w:tc>
        <w:tc>
          <w:tcPr>
            <w:tcW w:w="934" w:type="dxa"/>
            <w:tcBorders>
              <w:top w:val="nil"/>
              <w:left w:val="nil"/>
              <w:bottom w:val="single" w:sz="4" w:space="0" w:color="auto"/>
              <w:right w:val="single" w:sz="4" w:space="0" w:color="auto"/>
            </w:tcBorders>
            <w:shd w:val="clear" w:color="auto" w:fill="auto"/>
          </w:tcPr>
          <w:p w14:paraId="55DBA60E"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tcPr>
          <w:p w14:paraId="55DBA60F"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2</w:t>
            </w:r>
          </w:p>
        </w:tc>
        <w:tc>
          <w:tcPr>
            <w:tcW w:w="905" w:type="dxa"/>
            <w:tcBorders>
              <w:top w:val="single" w:sz="4" w:space="0" w:color="auto"/>
              <w:left w:val="single" w:sz="4" w:space="0" w:color="auto"/>
              <w:bottom w:val="single" w:sz="4" w:space="0" w:color="auto"/>
              <w:right w:val="single" w:sz="4" w:space="0" w:color="auto"/>
            </w:tcBorders>
            <w:shd w:val="clear" w:color="000000" w:fill="FFC000"/>
          </w:tcPr>
          <w:p w14:paraId="55DBA610"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6</w:t>
            </w:r>
          </w:p>
        </w:tc>
        <w:tc>
          <w:tcPr>
            <w:tcW w:w="2284" w:type="dxa"/>
            <w:tcBorders>
              <w:top w:val="nil"/>
              <w:left w:val="nil"/>
              <w:bottom w:val="single" w:sz="4" w:space="0" w:color="auto"/>
              <w:right w:val="single" w:sz="4" w:space="0" w:color="auto"/>
            </w:tcBorders>
            <w:shd w:val="clear" w:color="auto" w:fill="auto"/>
          </w:tcPr>
          <w:p w14:paraId="55DBA611"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tcPr>
          <w:p w14:paraId="55DBA612" w14:textId="77777777" w:rsidR="00943143" w:rsidRPr="00592E85" w:rsidRDefault="0095082E" w:rsidP="00943143">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tcPr>
          <w:p w14:paraId="55DBA613"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EA4274" w14:paraId="55DBA61F" w14:textId="77777777" w:rsidTr="00943143">
        <w:trPr>
          <w:trHeight w:val="1920"/>
          <w:jc w:val="center"/>
        </w:trPr>
        <w:tc>
          <w:tcPr>
            <w:tcW w:w="976" w:type="dxa"/>
            <w:tcBorders>
              <w:top w:val="nil"/>
              <w:left w:val="single" w:sz="8" w:space="0" w:color="auto"/>
              <w:bottom w:val="single" w:sz="4" w:space="0" w:color="auto"/>
              <w:right w:val="single" w:sz="4" w:space="0" w:color="auto"/>
            </w:tcBorders>
            <w:shd w:val="clear" w:color="auto" w:fill="auto"/>
            <w:hideMark/>
          </w:tcPr>
          <w:p w14:paraId="55DBA615"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5</w:t>
            </w:r>
          </w:p>
        </w:tc>
        <w:tc>
          <w:tcPr>
            <w:tcW w:w="2388" w:type="dxa"/>
            <w:tcBorders>
              <w:top w:val="single" w:sz="4" w:space="0" w:color="auto"/>
              <w:left w:val="nil"/>
              <w:bottom w:val="single" w:sz="4" w:space="0" w:color="auto"/>
              <w:right w:val="single" w:sz="4" w:space="0" w:color="auto"/>
            </w:tcBorders>
            <w:shd w:val="clear" w:color="auto" w:fill="auto"/>
            <w:hideMark/>
          </w:tcPr>
          <w:p w14:paraId="55DBA616"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Loss of sovereignty </w:t>
            </w:r>
          </w:p>
        </w:tc>
        <w:tc>
          <w:tcPr>
            <w:tcW w:w="3005" w:type="dxa"/>
            <w:tcBorders>
              <w:top w:val="nil"/>
              <w:left w:val="nil"/>
              <w:bottom w:val="single" w:sz="4" w:space="0" w:color="auto"/>
              <w:right w:val="single" w:sz="4" w:space="0" w:color="auto"/>
            </w:tcBorders>
            <w:shd w:val="clear" w:color="auto" w:fill="auto"/>
            <w:hideMark/>
          </w:tcPr>
          <w:p w14:paraId="55DBA617" w14:textId="77777777" w:rsidR="00943143" w:rsidRDefault="0095082E" w:rsidP="0094314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Both councils</w:t>
            </w:r>
            <w:r w:rsidRPr="00592E85">
              <w:rPr>
                <w:rFonts w:ascii="Arial" w:eastAsia="Times New Roman" w:hAnsi="Arial" w:cs="Arial"/>
                <w:sz w:val="18"/>
                <w:szCs w:val="18"/>
                <w:lang w:eastAsia="en-GB"/>
              </w:rPr>
              <w:t xml:space="preserve"> retain political independence and decision making.  Robust governance and clear protocols within the shared services agreement ensure that both councils maintain individual sovereignty.  </w:t>
            </w:r>
          </w:p>
          <w:p w14:paraId="55DBA618" w14:textId="77777777" w:rsidR="00943143" w:rsidRPr="00592E85" w:rsidRDefault="00425003" w:rsidP="00943143">
            <w:pPr>
              <w:spacing w:after="0" w:line="240" w:lineRule="auto"/>
              <w:rPr>
                <w:rFonts w:ascii="Arial" w:eastAsia="Times New Roman" w:hAnsi="Arial" w:cs="Arial"/>
                <w:sz w:val="18"/>
                <w:szCs w:val="18"/>
                <w:lang w:eastAsia="en-GB"/>
              </w:rPr>
            </w:pPr>
          </w:p>
        </w:tc>
        <w:tc>
          <w:tcPr>
            <w:tcW w:w="934" w:type="dxa"/>
            <w:tcBorders>
              <w:top w:val="nil"/>
              <w:left w:val="nil"/>
              <w:bottom w:val="single" w:sz="4" w:space="0" w:color="auto"/>
              <w:right w:val="single" w:sz="4" w:space="0" w:color="auto"/>
            </w:tcBorders>
            <w:shd w:val="clear" w:color="auto" w:fill="auto"/>
            <w:hideMark/>
          </w:tcPr>
          <w:p w14:paraId="55DBA619"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55DBA61A"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1</w:t>
            </w:r>
          </w:p>
        </w:tc>
        <w:tc>
          <w:tcPr>
            <w:tcW w:w="905" w:type="dxa"/>
            <w:tcBorders>
              <w:top w:val="single" w:sz="4" w:space="0" w:color="auto"/>
              <w:left w:val="single" w:sz="4" w:space="0" w:color="auto"/>
              <w:bottom w:val="single" w:sz="4" w:space="0" w:color="auto"/>
              <w:right w:val="single" w:sz="4" w:space="0" w:color="auto"/>
            </w:tcBorders>
            <w:shd w:val="clear" w:color="000000" w:fill="00B050"/>
            <w:hideMark/>
          </w:tcPr>
          <w:p w14:paraId="55DBA61B"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2284" w:type="dxa"/>
            <w:tcBorders>
              <w:top w:val="nil"/>
              <w:left w:val="nil"/>
              <w:bottom w:val="single" w:sz="4" w:space="0" w:color="auto"/>
              <w:right w:val="single" w:sz="4" w:space="0" w:color="auto"/>
            </w:tcBorders>
            <w:shd w:val="clear" w:color="auto" w:fill="auto"/>
            <w:hideMark/>
          </w:tcPr>
          <w:p w14:paraId="55DBA61C"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hideMark/>
          </w:tcPr>
          <w:p w14:paraId="55DBA61D" w14:textId="77777777" w:rsidR="00943143" w:rsidRPr="00592E85" w:rsidRDefault="0095082E" w:rsidP="00943143">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55DBA61E"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EA4274" w14:paraId="55DBA62B" w14:textId="77777777" w:rsidTr="00943143">
        <w:trPr>
          <w:trHeight w:val="960"/>
          <w:jc w:val="center"/>
        </w:trPr>
        <w:tc>
          <w:tcPr>
            <w:tcW w:w="976" w:type="dxa"/>
            <w:tcBorders>
              <w:top w:val="nil"/>
              <w:left w:val="single" w:sz="8" w:space="0" w:color="auto"/>
              <w:bottom w:val="single" w:sz="4" w:space="0" w:color="auto"/>
              <w:right w:val="single" w:sz="4" w:space="0" w:color="auto"/>
            </w:tcBorders>
            <w:shd w:val="clear" w:color="auto" w:fill="auto"/>
            <w:hideMark/>
          </w:tcPr>
          <w:p w14:paraId="55DBA620"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6</w:t>
            </w:r>
          </w:p>
        </w:tc>
        <w:tc>
          <w:tcPr>
            <w:tcW w:w="2388" w:type="dxa"/>
            <w:tcBorders>
              <w:top w:val="single" w:sz="4" w:space="0" w:color="auto"/>
              <w:left w:val="nil"/>
              <w:bottom w:val="single" w:sz="4" w:space="0" w:color="auto"/>
              <w:right w:val="single" w:sz="4" w:space="0" w:color="auto"/>
            </w:tcBorders>
            <w:shd w:val="clear" w:color="auto" w:fill="auto"/>
            <w:hideMark/>
          </w:tcPr>
          <w:p w14:paraId="55DBA621"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Different levels of future budgets for shared services across both councils </w:t>
            </w:r>
          </w:p>
        </w:tc>
        <w:tc>
          <w:tcPr>
            <w:tcW w:w="3005" w:type="dxa"/>
            <w:tcBorders>
              <w:top w:val="nil"/>
              <w:left w:val="nil"/>
              <w:bottom w:val="single" w:sz="4" w:space="0" w:color="auto"/>
              <w:right w:val="single" w:sz="4" w:space="0" w:color="auto"/>
            </w:tcBorders>
            <w:shd w:val="clear" w:color="auto" w:fill="auto"/>
            <w:hideMark/>
          </w:tcPr>
          <w:p w14:paraId="55DBA622" w14:textId="77777777" w:rsidR="00943143"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Shared Services provides opportunities for continued savings for both councils. </w:t>
            </w:r>
          </w:p>
          <w:p w14:paraId="55DBA623" w14:textId="77777777" w:rsidR="00943143"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br/>
              <w:t xml:space="preserve">The shared services agreement recognises committed budgets </w:t>
            </w:r>
            <w:r>
              <w:rPr>
                <w:rFonts w:ascii="Arial" w:eastAsia="Times New Roman" w:hAnsi="Arial" w:cs="Arial"/>
                <w:sz w:val="18"/>
                <w:szCs w:val="18"/>
                <w:lang w:eastAsia="en-GB"/>
              </w:rPr>
              <w:t xml:space="preserve">for each council. </w:t>
            </w:r>
          </w:p>
          <w:p w14:paraId="55DBA624" w14:textId="77777777" w:rsidR="00943143" w:rsidRPr="00592E85" w:rsidRDefault="00425003" w:rsidP="00943143">
            <w:pPr>
              <w:spacing w:after="0" w:line="240" w:lineRule="auto"/>
              <w:rPr>
                <w:rFonts w:ascii="Arial" w:eastAsia="Times New Roman" w:hAnsi="Arial" w:cs="Arial"/>
                <w:sz w:val="18"/>
                <w:szCs w:val="18"/>
                <w:lang w:eastAsia="en-GB"/>
              </w:rPr>
            </w:pPr>
          </w:p>
        </w:tc>
        <w:tc>
          <w:tcPr>
            <w:tcW w:w="934" w:type="dxa"/>
            <w:tcBorders>
              <w:top w:val="nil"/>
              <w:left w:val="nil"/>
              <w:bottom w:val="single" w:sz="4" w:space="0" w:color="auto"/>
              <w:right w:val="single" w:sz="4" w:space="0" w:color="auto"/>
            </w:tcBorders>
            <w:shd w:val="clear" w:color="auto" w:fill="auto"/>
            <w:hideMark/>
          </w:tcPr>
          <w:p w14:paraId="55DBA625"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55DBA626"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1</w:t>
            </w:r>
          </w:p>
        </w:tc>
        <w:tc>
          <w:tcPr>
            <w:tcW w:w="905" w:type="dxa"/>
            <w:tcBorders>
              <w:top w:val="single" w:sz="4" w:space="0" w:color="auto"/>
              <w:left w:val="single" w:sz="4" w:space="0" w:color="auto"/>
              <w:bottom w:val="single" w:sz="4" w:space="0" w:color="auto"/>
              <w:right w:val="single" w:sz="4" w:space="0" w:color="auto"/>
            </w:tcBorders>
            <w:shd w:val="clear" w:color="000000" w:fill="00B050"/>
            <w:hideMark/>
          </w:tcPr>
          <w:p w14:paraId="55DBA627" w14:textId="77777777" w:rsidR="00943143" w:rsidRPr="00592E85" w:rsidRDefault="0095082E"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2284" w:type="dxa"/>
            <w:tcBorders>
              <w:top w:val="nil"/>
              <w:left w:val="nil"/>
              <w:bottom w:val="single" w:sz="4" w:space="0" w:color="auto"/>
              <w:right w:val="single" w:sz="4" w:space="0" w:color="auto"/>
            </w:tcBorders>
            <w:shd w:val="clear" w:color="auto" w:fill="auto"/>
            <w:hideMark/>
          </w:tcPr>
          <w:p w14:paraId="55DBA628"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hideMark/>
          </w:tcPr>
          <w:p w14:paraId="55DBA629" w14:textId="77777777" w:rsidR="00943143" w:rsidRPr="00592E85" w:rsidRDefault="0095082E" w:rsidP="00943143">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55DBA62A" w14:textId="77777777" w:rsidR="00943143" w:rsidRPr="00592E85" w:rsidRDefault="0095082E"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bl>
    <w:p w14:paraId="55DBA62C" w14:textId="77777777" w:rsidR="00592E85" w:rsidRDefault="00425003" w:rsidP="00951B0D">
      <w:pPr>
        <w:jc w:val="both"/>
        <w:rPr>
          <w:rFonts w:ascii="Arial" w:hAnsi="Arial" w:cs="Arial"/>
          <w:lang w:val="en-US"/>
        </w:rPr>
        <w:sectPr w:rsidR="00592E85" w:rsidSect="00592E85">
          <w:pgSz w:w="16838" w:h="11906" w:orient="landscape"/>
          <w:pgMar w:top="1440" w:right="1440" w:bottom="1440" w:left="1440" w:header="709" w:footer="709" w:gutter="0"/>
          <w:cols w:space="708"/>
          <w:docGrid w:linePitch="360"/>
        </w:sectPr>
      </w:pPr>
    </w:p>
    <w:p w14:paraId="55DBA62D" w14:textId="77777777" w:rsidR="00951B0D" w:rsidRPr="00951B0D" w:rsidRDefault="00425003" w:rsidP="00951B0D">
      <w:pPr>
        <w:jc w:val="both"/>
        <w:rPr>
          <w:rFonts w:ascii="Arial" w:hAnsi="Arial" w:cs="Arial"/>
          <w:lang w:val="en-US"/>
        </w:rPr>
      </w:pPr>
    </w:p>
    <w:sectPr w:rsidR="00951B0D" w:rsidRPr="00951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98A"/>
    <w:multiLevelType w:val="hybridMultilevel"/>
    <w:tmpl w:val="B1EACE60"/>
    <w:lvl w:ilvl="0" w:tplc="C5CCB1B0">
      <w:start w:val="1"/>
      <w:numFmt w:val="bullet"/>
      <w:lvlText w:val=""/>
      <w:lvlJc w:val="left"/>
      <w:pPr>
        <w:ind w:left="720" w:hanging="360"/>
      </w:pPr>
      <w:rPr>
        <w:rFonts w:ascii="Symbol" w:hAnsi="Symbol" w:hint="default"/>
      </w:rPr>
    </w:lvl>
    <w:lvl w:ilvl="1" w:tplc="5F0269B8" w:tentative="1">
      <w:start w:val="1"/>
      <w:numFmt w:val="bullet"/>
      <w:lvlText w:val="o"/>
      <w:lvlJc w:val="left"/>
      <w:pPr>
        <w:ind w:left="1440" w:hanging="360"/>
      </w:pPr>
      <w:rPr>
        <w:rFonts w:ascii="Courier New" w:hAnsi="Courier New" w:cs="Courier New" w:hint="default"/>
      </w:rPr>
    </w:lvl>
    <w:lvl w:ilvl="2" w:tplc="292CF2B4" w:tentative="1">
      <w:start w:val="1"/>
      <w:numFmt w:val="bullet"/>
      <w:lvlText w:val=""/>
      <w:lvlJc w:val="left"/>
      <w:pPr>
        <w:ind w:left="2160" w:hanging="360"/>
      </w:pPr>
      <w:rPr>
        <w:rFonts w:ascii="Wingdings" w:hAnsi="Wingdings" w:hint="default"/>
      </w:rPr>
    </w:lvl>
    <w:lvl w:ilvl="3" w:tplc="98EE5918" w:tentative="1">
      <w:start w:val="1"/>
      <w:numFmt w:val="bullet"/>
      <w:lvlText w:val=""/>
      <w:lvlJc w:val="left"/>
      <w:pPr>
        <w:ind w:left="2880" w:hanging="360"/>
      </w:pPr>
      <w:rPr>
        <w:rFonts w:ascii="Symbol" w:hAnsi="Symbol" w:hint="default"/>
      </w:rPr>
    </w:lvl>
    <w:lvl w:ilvl="4" w:tplc="5B80CAF8" w:tentative="1">
      <w:start w:val="1"/>
      <w:numFmt w:val="bullet"/>
      <w:lvlText w:val="o"/>
      <w:lvlJc w:val="left"/>
      <w:pPr>
        <w:ind w:left="3600" w:hanging="360"/>
      </w:pPr>
      <w:rPr>
        <w:rFonts w:ascii="Courier New" w:hAnsi="Courier New" w:cs="Courier New" w:hint="default"/>
      </w:rPr>
    </w:lvl>
    <w:lvl w:ilvl="5" w:tplc="3D3C7318" w:tentative="1">
      <w:start w:val="1"/>
      <w:numFmt w:val="bullet"/>
      <w:lvlText w:val=""/>
      <w:lvlJc w:val="left"/>
      <w:pPr>
        <w:ind w:left="4320" w:hanging="360"/>
      </w:pPr>
      <w:rPr>
        <w:rFonts w:ascii="Wingdings" w:hAnsi="Wingdings" w:hint="default"/>
      </w:rPr>
    </w:lvl>
    <w:lvl w:ilvl="6" w:tplc="F8A46E9C" w:tentative="1">
      <w:start w:val="1"/>
      <w:numFmt w:val="bullet"/>
      <w:lvlText w:val=""/>
      <w:lvlJc w:val="left"/>
      <w:pPr>
        <w:ind w:left="5040" w:hanging="360"/>
      </w:pPr>
      <w:rPr>
        <w:rFonts w:ascii="Symbol" w:hAnsi="Symbol" w:hint="default"/>
      </w:rPr>
    </w:lvl>
    <w:lvl w:ilvl="7" w:tplc="D5DC014A" w:tentative="1">
      <w:start w:val="1"/>
      <w:numFmt w:val="bullet"/>
      <w:lvlText w:val="o"/>
      <w:lvlJc w:val="left"/>
      <w:pPr>
        <w:ind w:left="5760" w:hanging="360"/>
      </w:pPr>
      <w:rPr>
        <w:rFonts w:ascii="Courier New" w:hAnsi="Courier New" w:cs="Courier New" w:hint="default"/>
      </w:rPr>
    </w:lvl>
    <w:lvl w:ilvl="8" w:tplc="D87C927E" w:tentative="1">
      <w:start w:val="1"/>
      <w:numFmt w:val="bullet"/>
      <w:lvlText w:val=""/>
      <w:lvlJc w:val="left"/>
      <w:pPr>
        <w:ind w:left="6480" w:hanging="360"/>
      </w:pPr>
      <w:rPr>
        <w:rFonts w:ascii="Wingdings" w:hAnsi="Wingdings" w:hint="default"/>
      </w:rPr>
    </w:lvl>
  </w:abstractNum>
  <w:abstractNum w:abstractNumId="1" w15:restartNumberingAfterBreak="0">
    <w:nsid w:val="136706BB"/>
    <w:multiLevelType w:val="hybridMultilevel"/>
    <w:tmpl w:val="28829034"/>
    <w:lvl w:ilvl="0" w:tplc="790E8DB8">
      <w:start w:val="1"/>
      <w:numFmt w:val="bullet"/>
      <w:lvlText w:val=""/>
      <w:lvlJc w:val="left"/>
      <w:pPr>
        <w:ind w:left="1080" w:hanging="360"/>
      </w:pPr>
      <w:rPr>
        <w:rFonts w:ascii="Wingdings" w:hAnsi="Wingdings" w:hint="default"/>
      </w:rPr>
    </w:lvl>
    <w:lvl w:ilvl="1" w:tplc="2DA0AAC6" w:tentative="1">
      <w:start w:val="1"/>
      <w:numFmt w:val="bullet"/>
      <w:lvlText w:val="o"/>
      <w:lvlJc w:val="left"/>
      <w:pPr>
        <w:ind w:left="1800" w:hanging="360"/>
      </w:pPr>
      <w:rPr>
        <w:rFonts w:ascii="Courier New" w:hAnsi="Courier New" w:cs="Courier New" w:hint="default"/>
      </w:rPr>
    </w:lvl>
    <w:lvl w:ilvl="2" w:tplc="E2CE9A78" w:tentative="1">
      <w:start w:val="1"/>
      <w:numFmt w:val="bullet"/>
      <w:lvlText w:val=""/>
      <w:lvlJc w:val="left"/>
      <w:pPr>
        <w:ind w:left="2520" w:hanging="360"/>
      </w:pPr>
      <w:rPr>
        <w:rFonts w:ascii="Wingdings" w:hAnsi="Wingdings" w:hint="default"/>
      </w:rPr>
    </w:lvl>
    <w:lvl w:ilvl="3" w:tplc="9C40AD3C" w:tentative="1">
      <w:start w:val="1"/>
      <w:numFmt w:val="bullet"/>
      <w:lvlText w:val=""/>
      <w:lvlJc w:val="left"/>
      <w:pPr>
        <w:ind w:left="3240" w:hanging="360"/>
      </w:pPr>
      <w:rPr>
        <w:rFonts w:ascii="Symbol" w:hAnsi="Symbol" w:hint="default"/>
      </w:rPr>
    </w:lvl>
    <w:lvl w:ilvl="4" w:tplc="6234C01E" w:tentative="1">
      <w:start w:val="1"/>
      <w:numFmt w:val="bullet"/>
      <w:lvlText w:val="o"/>
      <w:lvlJc w:val="left"/>
      <w:pPr>
        <w:ind w:left="3960" w:hanging="360"/>
      </w:pPr>
      <w:rPr>
        <w:rFonts w:ascii="Courier New" w:hAnsi="Courier New" w:cs="Courier New" w:hint="default"/>
      </w:rPr>
    </w:lvl>
    <w:lvl w:ilvl="5" w:tplc="B8E0EE94" w:tentative="1">
      <w:start w:val="1"/>
      <w:numFmt w:val="bullet"/>
      <w:lvlText w:val=""/>
      <w:lvlJc w:val="left"/>
      <w:pPr>
        <w:ind w:left="4680" w:hanging="360"/>
      </w:pPr>
      <w:rPr>
        <w:rFonts w:ascii="Wingdings" w:hAnsi="Wingdings" w:hint="default"/>
      </w:rPr>
    </w:lvl>
    <w:lvl w:ilvl="6" w:tplc="4432BFF8" w:tentative="1">
      <w:start w:val="1"/>
      <w:numFmt w:val="bullet"/>
      <w:lvlText w:val=""/>
      <w:lvlJc w:val="left"/>
      <w:pPr>
        <w:ind w:left="5400" w:hanging="360"/>
      </w:pPr>
      <w:rPr>
        <w:rFonts w:ascii="Symbol" w:hAnsi="Symbol" w:hint="default"/>
      </w:rPr>
    </w:lvl>
    <w:lvl w:ilvl="7" w:tplc="3D78AE38" w:tentative="1">
      <w:start w:val="1"/>
      <w:numFmt w:val="bullet"/>
      <w:lvlText w:val="o"/>
      <w:lvlJc w:val="left"/>
      <w:pPr>
        <w:ind w:left="6120" w:hanging="360"/>
      </w:pPr>
      <w:rPr>
        <w:rFonts w:ascii="Courier New" w:hAnsi="Courier New" w:cs="Courier New" w:hint="default"/>
      </w:rPr>
    </w:lvl>
    <w:lvl w:ilvl="8" w:tplc="217A88C6" w:tentative="1">
      <w:start w:val="1"/>
      <w:numFmt w:val="bullet"/>
      <w:lvlText w:val=""/>
      <w:lvlJc w:val="left"/>
      <w:pPr>
        <w:ind w:left="6840" w:hanging="360"/>
      </w:pPr>
      <w:rPr>
        <w:rFonts w:ascii="Wingdings" w:hAnsi="Wingdings" w:hint="default"/>
      </w:rPr>
    </w:lvl>
  </w:abstractNum>
  <w:abstractNum w:abstractNumId="2" w15:restartNumberingAfterBreak="0">
    <w:nsid w:val="176A7F78"/>
    <w:multiLevelType w:val="hybridMultilevel"/>
    <w:tmpl w:val="B4BC392C"/>
    <w:lvl w:ilvl="0" w:tplc="477E42DC">
      <w:start w:val="15"/>
      <w:numFmt w:val="decimal"/>
      <w:lvlText w:val="%1."/>
      <w:lvlJc w:val="left"/>
      <w:pPr>
        <w:ind w:left="720" w:hanging="360"/>
      </w:pPr>
      <w:rPr>
        <w:rFonts w:hint="default"/>
      </w:rPr>
    </w:lvl>
    <w:lvl w:ilvl="1" w:tplc="6CAA24A6" w:tentative="1">
      <w:start w:val="1"/>
      <w:numFmt w:val="lowerLetter"/>
      <w:lvlText w:val="%2."/>
      <w:lvlJc w:val="left"/>
      <w:pPr>
        <w:ind w:left="1440" w:hanging="360"/>
      </w:pPr>
    </w:lvl>
    <w:lvl w:ilvl="2" w:tplc="599E9B86" w:tentative="1">
      <w:start w:val="1"/>
      <w:numFmt w:val="lowerRoman"/>
      <w:lvlText w:val="%3."/>
      <w:lvlJc w:val="right"/>
      <w:pPr>
        <w:ind w:left="2160" w:hanging="180"/>
      </w:pPr>
    </w:lvl>
    <w:lvl w:ilvl="3" w:tplc="D8BAD706" w:tentative="1">
      <w:start w:val="1"/>
      <w:numFmt w:val="decimal"/>
      <w:lvlText w:val="%4."/>
      <w:lvlJc w:val="left"/>
      <w:pPr>
        <w:ind w:left="2880" w:hanging="360"/>
      </w:pPr>
    </w:lvl>
    <w:lvl w:ilvl="4" w:tplc="837EFDC8" w:tentative="1">
      <w:start w:val="1"/>
      <w:numFmt w:val="lowerLetter"/>
      <w:lvlText w:val="%5."/>
      <w:lvlJc w:val="left"/>
      <w:pPr>
        <w:ind w:left="3600" w:hanging="360"/>
      </w:pPr>
    </w:lvl>
    <w:lvl w:ilvl="5" w:tplc="9E4A28A6" w:tentative="1">
      <w:start w:val="1"/>
      <w:numFmt w:val="lowerRoman"/>
      <w:lvlText w:val="%6."/>
      <w:lvlJc w:val="right"/>
      <w:pPr>
        <w:ind w:left="4320" w:hanging="180"/>
      </w:pPr>
    </w:lvl>
    <w:lvl w:ilvl="6" w:tplc="C1161B28" w:tentative="1">
      <w:start w:val="1"/>
      <w:numFmt w:val="decimal"/>
      <w:lvlText w:val="%7."/>
      <w:lvlJc w:val="left"/>
      <w:pPr>
        <w:ind w:left="5040" w:hanging="360"/>
      </w:pPr>
    </w:lvl>
    <w:lvl w:ilvl="7" w:tplc="3D7621A2" w:tentative="1">
      <w:start w:val="1"/>
      <w:numFmt w:val="lowerLetter"/>
      <w:lvlText w:val="%8."/>
      <w:lvlJc w:val="left"/>
      <w:pPr>
        <w:ind w:left="5760" w:hanging="360"/>
      </w:pPr>
    </w:lvl>
    <w:lvl w:ilvl="8" w:tplc="B1CED704" w:tentative="1">
      <w:start w:val="1"/>
      <w:numFmt w:val="lowerRoman"/>
      <w:lvlText w:val="%9."/>
      <w:lvlJc w:val="right"/>
      <w:pPr>
        <w:ind w:left="6480" w:hanging="180"/>
      </w:pPr>
    </w:lvl>
  </w:abstractNum>
  <w:abstractNum w:abstractNumId="3" w15:restartNumberingAfterBreak="0">
    <w:nsid w:val="19DD7ABF"/>
    <w:multiLevelType w:val="hybridMultilevel"/>
    <w:tmpl w:val="652A5D02"/>
    <w:lvl w:ilvl="0" w:tplc="C92057A4">
      <w:start w:val="1"/>
      <w:numFmt w:val="bullet"/>
      <w:lvlText w:val=""/>
      <w:lvlJc w:val="left"/>
      <w:pPr>
        <w:ind w:left="1440" w:hanging="360"/>
      </w:pPr>
      <w:rPr>
        <w:rFonts w:ascii="Symbol" w:hAnsi="Symbol" w:hint="default"/>
      </w:rPr>
    </w:lvl>
    <w:lvl w:ilvl="1" w:tplc="7EF85722" w:tentative="1">
      <w:start w:val="1"/>
      <w:numFmt w:val="bullet"/>
      <w:lvlText w:val="o"/>
      <w:lvlJc w:val="left"/>
      <w:pPr>
        <w:ind w:left="2160" w:hanging="360"/>
      </w:pPr>
      <w:rPr>
        <w:rFonts w:ascii="Courier New" w:hAnsi="Courier New" w:cs="Courier New" w:hint="default"/>
      </w:rPr>
    </w:lvl>
    <w:lvl w:ilvl="2" w:tplc="2F7889FA" w:tentative="1">
      <w:start w:val="1"/>
      <w:numFmt w:val="bullet"/>
      <w:lvlText w:val=""/>
      <w:lvlJc w:val="left"/>
      <w:pPr>
        <w:ind w:left="2880" w:hanging="360"/>
      </w:pPr>
      <w:rPr>
        <w:rFonts w:ascii="Wingdings" w:hAnsi="Wingdings" w:hint="default"/>
      </w:rPr>
    </w:lvl>
    <w:lvl w:ilvl="3" w:tplc="B0008CE2" w:tentative="1">
      <w:start w:val="1"/>
      <w:numFmt w:val="bullet"/>
      <w:lvlText w:val=""/>
      <w:lvlJc w:val="left"/>
      <w:pPr>
        <w:ind w:left="3600" w:hanging="360"/>
      </w:pPr>
      <w:rPr>
        <w:rFonts w:ascii="Symbol" w:hAnsi="Symbol" w:hint="default"/>
      </w:rPr>
    </w:lvl>
    <w:lvl w:ilvl="4" w:tplc="5CE66452" w:tentative="1">
      <w:start w:val="1"/>
      <w:numFmt w:val="bullet"/>
      <w:lvlText w:val="o"/>
      <w:lvlJc w:val="left"/>
      <w:pPr>
        <w:ind w:left="4320" w:hanging="360"/>
      </w:pPr>
      <w:rPr>
        <w:rFonts w:ascii="Courier New" w:hAnsi="Courier New" w:cs="Courier New" w:hint="default"/>
      </w:rPr>
    </w:lvl>
    <w:lvl w:ilvl="5" w:tplc="10249E98" w:tentative="1">
      <w:start w:val="1"/>
      <w:numFmt w:val="bullet"/>
      <w:lvlText w:val=""/>
      <w:lvlJc w:val="left"/>
      <w:pPr>
        <w:ind w:left="5040" w:hanging="360"/>
      </w:pPr>
      <w:rPr>
        <w:rFonts w:ascii="Wingdings" w:hAnsi="Wingdings" w:hint="default"/>
      </w:rPr>
    </w:lvl>
    <w:lvl w:ilvl="6" w:tplc="AC9C47A0" w:tentative="1">
      <w:start w:val="1"/>
      <w:numFmt w:val="bullet"/>
      <w:lvlText w:val=""/>
      <w:lvlJc w:val="left"/>
      <w:pPr>
        <w:ind w:left="5760" w:hanging="360"/>
      </w:pPr>
      <w:rPr>
        <w:rFonts w:ascii="Symbol" w:hAnsi="Symbol" w:hint="default"/>
      </w:rPr>
    </w:lvl>
    <w:lvl w:ilvl="7" w:tplc="46EE8C0C" w:tentative="1">
      <w:start w:val="1"/>
      <w:numFmt w:val="bullet"/>
      <w:lvlText w:val="o"/>
      <w:lvlJc w:val="left"/>
      <w:pPr>
        <w:ind w:left="6480" w:hanging="360"/>
      </w:pPr>
      <w:rPr>
        <w:rFonts w:ascii="Courier New" w:hAnsi="Courier New" w:cs="Courier New" w:hint="default"/>
      </w:rPr>
    </w:lvl>
    <w:lvl w:ilvl="8" w:tplc="3B4A0436" w:tentative="1">
      <w:start w:val="1"/>
      <w:numFmt w:val="bullet"/>
      <w:lvlText w:val=""/>
      <w:lvlJc w:val="left"/>
      <w:pPr>
        <w:ind w:left="7200" w:hanging="360"/>
      </w:pPr>
      <w:rPr>
        <w:rFonts w:ascii="Wingdings" w:hAnsi="Wingdings" w:hint="default"/>
      </w:rPr>
    </w:lvl>
  </w:abstractNum>
  <w:abstractNum w:abstractNumId="4" w15:restartNumberingAfterBreak="0">
    <w:nsid w:val="20673D36"/>
    <w:multiLevelType w:val="hybridMultilevel"/>
    <w:tmpl w:val="0F1E6FEE"/>
    <w:lvl w:ilvl="0" w:tplc="882A22D6">
      <w:start w:val="1"/>
      <w:numFmt w:val="bullet"/>
      <w:lvlText w:val=""/>
      <w:lvlJc w:val="left"/>
      <w:pPr>
        <w:ind w:left="1080" w:hanging="360"/>
      </w:pPr>
      <w:rPr>
        <w:rFonts w:ascii="Wingdings" w:hAnsi="Wingdings" w:hint="default"/>
      </w:rPr>
    </w:lvl>
    <w:lvl w:ilvl="1" w:tplc="C6483C8E" w:tentative="1">
      <w:start w:val="1"/>
      <w:numFmt w:val="bullet"/>
      <w:lvlText w:val="o"/>
      <w:lvlJc w:val="left"/>
      <w:pPr>
        <w:ind w:left="1800" w:hanging="360"/>
      </w:pPr>
      <w:rPr>
        <w:rFonts w:ascii="Courier New" w:hAnsi="Courier New" w:cs="Courier New" w:hint="default"/>
      </w:rPr>
    </w:lvl>
    <w:lvl w:ilvl="2" w:tplc="616AB7BA" w:tentative="1">
      <w:start w:val="1"/>
      <w:numFmt w:val="bullet"/>
      <w:lvlText w:val=""/>
      <w:lvlJc w:val="left"/>
      <w:pPr>
        <w:ind w:left="2520" w:hanging="360"/>
      </w:pPr>
      <w:rPr>
        <w:rFonts w:ascii="Wingdings" w:hAnsi="Wingdings" w:hint="default"/>
      </w:rPr>
    </w:lvl>
    <w:lvl w:ilvl="3" w:tplc="CEA404D6" w:tentative="1">
      <w:start w:val="1"/>
      <w:numFmt w:val="bullet"/>
      <w:lvlText w:val=""/>
      <w:lvlJc w:val="left"/>
      <w:pPr>
        <w:ind w:left="3240" w:hanging="360"/>
      </w:pPr>
      <w:rPr>
        <w:rFonts w:ascii="Symbol" w:hAnsi="Symbol" w:hint="default"/>
      </w:rPr>
    </w:lvl>
    <w:lvl w:ilvl="4" w:tplc="F4CAA738" w:tentative="1">
      <w:start w:val="1"/>
      <w:numFmt w:val="bullet"/>
      <w:lvlText w:val="o"/>
      <w:lvlJc w:val="left"/>
      <w:pPr>
        <w:ind w:left="3960" w:hanging="360"/>
      </w:pPr>
      <w:rPr>
        <w:rFonts w:ascii="Courier New" w:hAnsi="Courier New" w:cs="Courier New" w:hint="default"/>
      </w:rPr>
    </w:lvl>
    <w:lvl w:ilvl="5" w:tplc="BAC80D28" w:tentative="1">
      <w:start w:val="1"/>
      <w:numFmt w:val="bullet"/>
      <w:lvlText w:val=""/>
      <w:lvlJc w:val="left"/>
      <w:pPr>
        <w:ind w:left="4680" w:hanging="360"/>
      </w:pPr>
      <w:rPr>
        <w:rFonts w:ascii="Wingdings" w:hAnsi="Wingdings" w:hint="default"/>
      </w:rPr>
    </w:lvl>
    <w:lvl w:ilvl="6" w:tplc="FAB6BC54" w:tentative="1">
      <w:start w:val="1"/>
      <w:numFmt w:val="bullet"/>
      <w:lvlText w:val=""/>
      <w:lvlJc w:val="left"/>
      <w:pPr>
        <w:ind w:left="5400" w:hanging="360"/>
      </w:pPr>
      <w:rPr>
        <w:rFonts w:ascii="Symbol" w:hAnsi="Symbol" w:hint="default"/>
      </w:rPr>
    </w:lvl>
    <w:lvl w:ilvl="7" w:tplc="91086A7A" w:tentative="1">
      <w:start w:val="1"/>
      <w:numFmt w:val="bullet"/>
      <w:lvlText w:val="o"/>
      <w:lvlJc w:val="left"/>
      <w:pPr>
        <w:ind w:left="6120" w:hanging="360"/>
      </w:pPr>
      <w:rPr>
        <w:rFonts w:ascii="Courier New" w:hAnsi="Courier New" w:cs="Courier New" w:hint="default"/>
      </w:rPr>
    </w:lvl>
    <w:lvl w:ilvl="8" w:tplc="22B4B040" w:tentative="1">
      <w:start w:val="1"/>
      <w:numFmt w:val="bullet"/>
      <w:lvlText w:val=""/>
      <w:lvlJc w:val="left"/>
      <w:pPr>
        <w:ind w:left="6840" w:hanging="360"/>
      </w:pPr>
      <w:rPr>
        <w:rFonts w:ascii="Wingdings" w:hAnsi="Wingdings" w:hint="default"/>
      </w:rPr>
    </w:lvl>
  </w:abstractNum>
  <w:abstractNum w:abstractNumId="5" w15:restartNumberingAfterBreak="0">
    <w:nsid w:val="24FE6B09"/>
    <w:multiLevelType w:val="hybridMultilevel"/>
    <w:tmpl w:val="4D8AF8FA"/>
    <w:lvl w:ilvl="0" w:tplc="889E9192">
      <w:numFmt w:val="bullet"/>
      <w:lvlText w:val="-"/>
      <w:lvlJc w:val="left"/>
      <w:pPr>
        <w:ind w:left="720" w:hanging="360"/>
      </w:pPr>
      <w:rPr>
        <w:rFonts w:ascii="Arial" w:eastAsiaTheme="minorHAnsi" w:hAnsi="Arial" w:cs="Arial" w:hint="default"/>
      </w:rPr>
    </w:lvl>
    <w:lvl w:ilvl="1" w:tplc="29445FD4" w:tentative="1">
      <w:start w:val="1"/>
      <w:numFmt w:val="bullet"/>
      <w:lvlText w:val="o"/>
      <w:lvlJc w:val="left"/>
      <w:pPr>
        <w:ind w:left="1440" w:hanging="360"/>
      </w:pPr>
      <w:rPr>
        <w:rFonts w:ascii="Courier New" w:hAnsi="Courier New" w:cs="Courier New" w:hint="default"/>
      </w:rPr>
    </w:lvl>
    <w:lvl w:ilvl="2" w:tplc="9B301EB4" w:tentative="1">
      <w:start w:val="1"/>
      <w:numFmt w:val="bullet"/>
      <w:lvlText w:val=""/>
      <w:lvlJc w:val="left"/>
      <w:pPr>
        <w:ind w:left="2160" w:hanging="360"/>
      </w:pPr>
      <w:rPr>
        <w:rFonts w:ascii="Wingdings" w:hAnsi="Wingdings" w:hint="default"/>
      </w:rPr>
    </w:lvl>
    <w:lvl w:ilvl="3" w:tplc="6930D24E" w:tentative="1">
      <w:start w:val="1"/>
      <w:numFmt w:val="bullet"/>
      <w:lvlText w:val=""/>
      <w:lvlJc w:val="left"/>
      <w:pPr>
        <w:ind w:left="2880" w:hanging="360"/>
      </w:pPr>
      <w:rPr>
        <w:rFonts w:ascii="Symbol" w:hAnsi="Symbol" w:hint="default"/>
      </w:rPr>
    </w:lvl>
    <w:lvl w:ilvl="4" w:tplc="A01868A2" w:tentative="1">
      <w:start w:val="1"/>
      <w:numFmt w:val="bullet"/>
      <w:lvlText w:val="o"/>
      <w:lvlJc w:val="left"/>
      <w:pPr>
        <w:ind w:left="3600" w:hanging="360"/>
      </w:pPr>
      <w:rPr>
        <w:rFonts w:ascii="Courier New" w:hAnsi="Courier New" w:cs="Courier New" w:hint="default"/>
      </w:rPr>
    </w:lvl>
    <w:lvl w:ilvl="5" w:tplc="7A7688AE" w:tentative="1">
      <w:start w:val="1"/>
      <w:numFmt w:val="bullet"/>
      <w:lvlText w:val=""/>
      <w:lvlJc w:val="left"/>
      <w:pPr>
        <w:ind w:left="4320" w:hanging="360"/>
      </w:pPr>
      <w:rPr>
        <w:rFonts w:ascii="Wingdings" w:hAnsi="Wingdings" w:hint="default"/>
      </w:rPr>
    </w:lvl>
    <w:lvl w:ilvl="6" w:tplc="F8DCDB18" w:tentative="1">
      <w:start w:val="1"/>
      <w:numFmt w:val="bullet"/>
      <w:lvlText w:val=""/>
      <w:lvlJc w:val="left"/>
      <w:pPr>
        <w:ind w:left="5040" w:hanging="360"/>
      </w:pPr>
      <w:rPr>
        <w:rFonts w:ascii="Symbol" w:hAnsi="Symbol" w:hint="default"/>
      </w:rPr>
    </w:lvl>
    <w:lvl w:ilvl="7" w:tplc="EB4C7294" w:tentative="1">
      <w:start w:val="1"/>
      <w:numFmt w:val="bullet"/>
      <w:lvlText w:val="o"/>
      <w:lvlJc w:val="left"/>
      <w:pPr>
        <w:ind w:left="5760" w:hanging="360"/>
      </w:pPr>
      <w:rPr>
        <w:rFonts w:ascii="Courier New" w:hAnsi="Courier New" w:cs="Courier New" w:hint="default"/>
      </w:rPr>
    </w:lvl>
    <w:lvl w:ilvl="8" w:tplc="0CF6B3F6" w:tentative="1">
      <w:start w:val="1"/>
      <w:numFmt w:val="bullet"/>
      <w:lvlText w:val=""/>
      <w:lvlJc w:val="left"/>
      <w:pPr>
        <w:ind w:left="6480" w:hanging="360"/>
      </w:pPr>
      <w:rPr>
        <w:rFonts w:ascii="Wingdings" w:hAnsi="Wingdings" w:hint="default"/>
      </w:rPr>
    </w:lvl>
  </w:abstractNum>
  <w:abstractNum w:abstractNumId="6" w15:restartNumberingAfterBreak="0">
    <w:nsid w:val="2C690512"/>
    <w:multiLevelType w:val="hybridMultilevel"/>
    <w:tmpl w:val="2B7C876E"/>
    <w:lvl w:ilvl="0" w:tplc="78ACBEFC">
      <w:start w:val="1"/>
      <w:numFmt w:val="decimal"/>
      <w:lvlText w:val="%1."/>
      <w:lvlJc w:val="left"/>
      <w:pPr>
        <w:ind w:left="720" w:hanging="360"/>
      </w:pPr>
      <w:rPr>
        <w:rFonts w:hint="default"/>
      </w:rPr>
    </w:lvl>
    <w:lvl w:ilvl="1" w:tplc="4DF65926" w:tentative="1">
      <w:start w:val="1"/>
      <w:numFmt w:val="lowerLetter"/>
      <w:lvlText w:val="%2."/>
      <w:lvlJc w:val="left"/>
      <w:pPr>
        <w:ind w:left="1440" w:hanging="360"/>
      </w:pPr>
    </w:lvl>
    <w:lvl w:ilvl="2" w:tplc="77461740" w:tentative="1">
      <w:start w:val="1"/>
      <w:numFmt w:val="lowerRoman"/>
      <w:lvlText w:val="%3."/>
      <w:lvlJc w:val="right"/>
      <w:pPr>
        <w:ind w:left="2160" w:hanging="180"/>
      </w:pPr>
    </w:lvl>
    <w:lvl w:ilvl="3" w:tplc="64A21D38" w:tentative="1">
      <w:start w:val="1"/>
      <w:numFmt w:val="decimal"/>
      <w:lvlText w:val="%4."/>
      <w:lvlJc w:val="left"/>
      <w:pPr>
        <w:ind w:left="2880" w:hanging="360"/>
      </w:pPr>
    </w:lvl>
    <w:lvl w:ilvl="4" w:tplc="65FAC38E" w:tentative="1">
      <w:start w:val="1"/>
      <w:numFmt w:val="lowerLetter"/>
      <w:lvlText w:val="%5."/>
      <w:lvlJc w:val="left"/>
      <w:pPr>
        <w:ind w:left="3600" w:hanging="360"/>
      </w:pPr>
    </w:lvl>
    <w:lvl w:ilvl="5" w:tplc="B49C4FB0" w:tentative="1">
      <w:start w:val="1"/>
      <w:numFmt w:val="lowerRoman"/>
      <w:lvlText w:val="%6."/>
      <w:lvlJc w:val="right"/>
      <w:pPr>
        <w:ind w:left="4320" w:hanging="180"/>
      </w:pPr>
    </w:lvl>
    <w:lvl w:ilvl="6" w:tplc="A3B87B0E" w:tentative="1">
      <w:start w:val="1"/>
      <w:numFmt w:val="decimal"/>
      <w:lvlText w:val="%7."/>
      <w:lvlJc w:val="left"/>
      <w:pPr>
        <w:ind w:left="5040" w:hanging="360"/>
      </w:pPr>
    </w:lvl>
    <w:lvl w:ilvl="7" w:tplc="5B74ECB4" w:tentative="1">
      <w:start w:val="1"/>
      <w:numFmt w:val="lowerLetter"/>
      <w:lvlText w:val="%8."/>
      <w:lvlJc w:val="left"/>
      <w:pPr>
        <w:ind w:left="5760" w:hanging="360"/>
      </w:pPr>
    </w:lvl>
    <w:lvl w:ilvl="8" w:tplc="7ACEAF04" w:tentative="1">
      <w:start w:val="1"/>
      <w:numFmt w:val="lowerRoman"/>
      <w:lvlText w:val="%9."/>
      <w:lvlJc w:val="right"/>
      <w:pPr>
        <w:ind w:left="6480" w:hanging="180"/>
      </w:pPr>
    </w:lvl>
  </w:abstractNum>
  <w:abstractNum w:abstractNumId="7" w15:restartNumberingAfterBreak="0">
    <w:nsid w:val="326D3894"/>
    <w:multiLevelType w:val="hybridMultilevel"/>
    <w:tmpl w:val="1E365186"/>
    <w:lvl w:ilvl="0" w:tplc="98823324">
      <w:start w:val="1"/>
      <w:numFmt w:val="decimal"/>
      <w:lvlText w:val="%1."/>
      <w:lvlJc w:val="left"/>
      <w:pPr>
        <w:ind w:left="424" w:hanging="360"/>
      </w:pPr>
    </w:lvl>
    <w:lvl w:ilvl="1" w:tplc="535EB0D0" w:tentative="1">
      <w:start w:val="1"/>
      <w:numFmt w:val="lowerLetter"/>
      <w:lvlText w:val="%2."/>
      <w:lvlJc w:val="left"/>
      <w:pPr>
        <w:ind w:left="1144" w:hanging="360"/>
      </w:pPr>
    </w:lvl>
    <w:lvl w:ilvl="2" w:tplc="C3B0DCA2" w:tentative="1">
      <w:start w:val="1"/>
      <w:numFmt w:val="lowerRoman"/>
      <w:lvlText w:val="%3."/>
      <w:lvlJc w:val="right"/>
      <w:pPr>
        <w:ind w:left="1864" w:hanging="180"/>
      </w:pPr>
    </w:lvl>
    <w:lvl w:ilvl="3" w:tplc="BB7AEB2C" w:tentative="1">
      <w:start w:val="1"/>
      <w:numFmt w:val="decimal"/>
      <w:lvlText w:val="%4."/>
      <w:lvlJc w:val="left"/>
      <w:pPr>
        <w:ind w:left="2584" w:hanging="360"/>
      </w:pPr>
    </w:lvl>
    <w:lvl w:ilvl="4" w:tplc="B11C2A0E" w:tentative="1">
      <w:start w:val="1"/>
      <w:numFmt w:val="lowerLetter"/>
      <w:lvlText w:val="%5."/>
      <w:lvlJc w:val="left"/>
      <w:pPr>
        <w:ind w:left="3304" w:hanging="360"/>
      </w:pPr>
    </w:lvl>
    <w:lvl w:ilvl="5" w:tplc="B8CE635A" w:tentative="1">
      <w:start w:val="1"/>
      <w:numFmt w:val="lowerRoman"/>
      <w:lvlText w:val="%6."/>
      <w:lvlJc w:val="right"/>
      <w:pPr>
        <w:ind w:left="4024" w:hanging="180"/>
      </w:pPr>
    </w:lvl>
    <w:lvl w:ilvl="6" w:tplc="FA7ACDFE" w:tentative="1">
      <w:start w:val="1"/>
      <w:numFmt w:val="decimal"/>
      <w:lvlText w:val="%7."/>
      <w:lvlJc w:val="left"/>
      <w:pPr>
        <w:ind w:left="4744" w:hanging="360"/>
      </w:pPr>
    </w:lvl>
    <w:lvl w:ilvl="7" w:tplc="FD765792" w:tentative="1">
      <w:start w:val="1"/>
      <w:numFmt w:val="lowerLetter"/>
      <w:lvlText w:val="%8."/>
      <w:lvlJc w:val="left"/>
      <w:pPr>
        <w:ind w:left="5464" w:hanging="360"/>
      </w:pPr>
    </w:lvl>
    <w:lvl w:ilvl="8" w:tplc="015C82F2" w:tentative="1">
      <w:start w:val="1"/>
      <w:numFmt w:val="lowerRoman"/>
      <w:lvlText w:val="%9."/>
      <w:lvlJc w:val="right"/>
      <w:pPr>
        <w:ind w:left="6184" w:hanging="180"/>
      </w:pPr>
    </w:lvl>
  </w:abstractNum>
  <w:abstractNum w:abstractNumId="8" w15:restartNumberingAfterBreak="0">
    <w:nsid w:val="34C1017F"/>
    <w:multiLevelType w:val="hybridMultilevel"/>
    <w:tmpl w:val="DAFCAA52"/>
    <w:lvl w:ilvl="0" w:tplc="BA1A1A36">
      <w:start w:val="1"/>
      <w:numFmt w:val="decimal"/>
      <w:lvlText w:val="%1."/>
      <w:lvlJc w:val="left"/>
      <w:pPr>
        <w:ind w:left="720" w:hanging="360"/>
      </w:pPr>
      <w:rPr>
        <w:rFonts w:hint="default"/>
      </w:rPr>
    </w:lvl>
    <w:lvl w:ilvl="1" w:tplc="FBD6DC50" w:tentative="1">
      <w:start w:val="1"/>
      <w:numFmt w:val="lowerLetter"/>
      <w:lvlText w:val="%2."/>
      <w:lvlJc w:val="left"/>
      <w:pPr>
        <w:ind w:left="1440" w:hanging="360"/>
      </w:pPr>
    </w:lvl>
    <w:lvl w:ilvl="2" w:tplc="A8F66164" w:tentative="1">
      <w:start w:val="1"/>
      <w:numFmt w:val="lowerRoman"/>
      <w:lvlText w:val="%3."/>
      <w:lvlJc w:val="right"/>
      <w:pPr>
        <w:ind w:left="2160" w:hanging="180"/>
      </w:pPr>
    </w:lvl>
    <w:lvl w:ilvl="3" w:tplc="90C8DB28" w:tentative="1">
      <w:start w:val="1"/>
      <w:numFmt w:val="decimal"/>
      <w:lvlText w:val="%4."/>
      <w:lvlJc w:val="left"/>
      <w:pPr>
        <w:ind w:left="2880" w:hanging="360"/>
      </w:pPr>
    </w:lvl>
    <w:lvl w:ilvl="4" w:tplc="078CE16E" w:tentative="1">
      <w:start w:val="1"/>
      <w:numFmt w:val="lowerLetter"/>
      <w:lvlText w:val="%5."/>
      <w:lvlJc w:val="left"/>
      <w:pPr>
        <w:ind w:left="3600" w:hanging="360"/>
      </w:pPr>
    </w:lvl>
    <w:lvl w:ilvl="5" w:tplc="C0F63EA2" w:tentative="1">
      <w:start w:val="1"/>
      <w:numFmt w:val="lowerRoman"/>
      <w:lvlText w:val="%6."/>
      <w:lvlJc w:val="right"/>
      <w:pPr>
        <w:ind w:left="4320" w:hanging="180"/>
      </w:pPr>
    </w:lvl>
    <w:lvl w:ilvl="6" w:tplc="3A182574" w:tentative="1">
      <w:start w:val="1"/>
      <w:numFmt w:val="decimal"/>
      <w:lvlText w:val="%7."/>
      <w:lvlJc w:val="left"/>
      <w:pPr>
        <w:ind w:left="5040" w:hanging="360"/>
      </w:pPr>
    </w:lvl>
    <w:lvl w:ilvl="7" w:tplc="38BA8E56" w:tentative="1">
      <w:start w:val="1"/>
      <w:numFmt w:val="lowerLetter"/>
      <w:lvlText w:val="%8."/>
      <w:lvlJc w:val="left"/>
      <w:pPr>
        <w:ind w:left="5760" w:hanging="360"/>
      </w:pPr>
    </w:lvl>
    <w:lvl w:ilvl="8" w:tplc="E1786958" w:tentative="1">
      <w:start w:val="1"/>
      <w:numFmt w:val="lowerRoman"/>
      <w:lvlText w:val="%9."/>
      <w:lvlJc w:val="right"/>
      <w:pPr>
        <w:ind w:left="6480" w:hanging="180"/>
      </w:pPr>
    </w:lvl>
  </w:abstractNum>
  <w:abstractNum w:abstractNumId="9" w15:restartNumberingAfterBreak="0">
    <w:nsid w:val="3DCC73CE"/>
    <w:multiLevelType w:val="hybridMultilevel"/>
    <w:tmpl w:val="0CCA1D14"/>
    <w:lvl w:ilvl="0" w:tplc="67E4F436">
      <w:start w:val="1"/>
      <w:numFmt w:val="bullet"/>
      <w:lvlText w:val=""/>
      <w:lvlJc w:val="left"/>
      <w:pPr>
        <w:ind w:left="1080" w:hanging="360"/>
      </w:pPr>
      <w:rPr>
        <w:rFonts w:ascii="Wingdings" w:hAnsi="Wingdings" w:hint="default"/>
      </w:rPr>
    </w:lvl>
    <w:lvl w:ilvl="1" w:tplc="71DC6AD8" w:tentative="1">
      <w:start w:val="1"/>
      <w:numFmt w:val="bullet"/>
      <w:lvlText w:val="o"/>
      <w:lvlJc w:val="left"/>
      <w:pPr>
        <w:ind w:left="1800" w:hanging="360"/>
      </w:pPr>
      <w:rPr>
        <w:rFonts w:ascii="Courier New" w:hAnsi="Courier New" w:cs="Courier New" w:hint="default"/>
      </w:rPr>
    </w:lvl>
    <w:lvl w:ilvl="2" w:tplc="64382BB8" w:tentative="1">
      <w:start w:val="1"/>
      <w:numFmt w:val="bullet"/>
      <w:lvlText w:val=""/>
      <w:lvlJc w:val="left"/>
      <w:pPr>
        <w:ind w:left="2520" w:hanging="360"/>
      </w:pPr>
      <w:rPr>
        <w:rFonts w:ascii="Wingdings" w:hAnsi="Wingdings" w:hint="default"/>
      </w:rPr>
    </w:lvl>
    <w:lvl w:ilvl="3" w:tplc="B0346488" w:tentative="1">
      <w:start w:val="1"/>
      <w:numFmt w:val="bullet"/>
      <w:lvlText w:val=""/>
      <w:lvlJc w:val="left"/>
      <w:pPr>
        <w:ind w:left="3240" w:hanging="360"/>
      </w:pPr>
      <w:rPr>
        <w:rFonts w:ascii="Symbol" w:hAnsi="Symbol" w:hint="default"/>
      </w:rPr>
    </w:lvl>
    <w:lvl w:ilvl="4" w:tplc="0AD0236A" w:tentative="1">
      <w:start w:val="1"/>
      <w:numFmt w:val="bullet"/>
      <w:lvlText w:val="o"/>
      <w:lvlJc w:val="left"/>
      <w:pPr>
        <w:ind w:left="3960" w:hanging="360"/>
      </w:pPr>
      <w:rPr>
        <w:rFonts w:ascii="Courier New" w:hAnsi="Courier New" w:cs="Courier New" w:hint="default"/>
      </w:rPr>
    </w:lvl>
    <w:lvl w:ilvl="5" w:tplc="061A91D0" w:tentative="1">
      <w:start w:val="1"/>
      <w:numFmt w:val="bullet"/>
      <w:lvlText w:val=""/>
      <w:lvlJc w:val="left"/>
      <w:pPr>
        <w:ind w:left="4680" w:hanging="360"/>
      </w:pPr>
      <w:rPr>
        <w:rFonts w:ascii="Wingdings" w:hAnsi="Wingdings" w:hint="default"/>
      </w:rPr>
    </w:lvl>
    <w:lvl w:ilvl="6" w:tplc="4BA431AE" w:tentative="1">
      <w:start w:val="1"/>
      <w:numFmt w:val="bullet"/>
      <w:lvlText w:val=""/>
      <w:lvlJc w:val="left"/>
      <w:pPr>
        <w:ind w:left="5400" w:hanging="360"/>
      </w:pPr>
      <w:rPr>
        <w:rFonts w:ascii="Symbol" w:hAnsi="Symbol" w:hint="default"/>
      </w:rPr>
    </w:lvl>
    <w:lvl w:ilvl="7" w:tplc="50C4C3F2" w:tentative="1">
      <w:start w:val="1"/>
      <w:numFmt w:val="bullet"/>
      <w:lvlText w:val="o"/>
      <w:lvlJc w:val="left"/>
      <w:pPr>
        <w:ind w:left="6120" w:hanging="360"/>
      </w:pPr>
      <w:rPr>
        <w:rFonts w:ascii="Courier New" w:hAnsi="Courier New" w:cs="Courier New" w:hint="default"/>
      </w:rPr>
    </w:lvl>
    <w:lvl w:ilvl="8" w:tplc="B2F26B74" w:tentative="1">
      <w:start w:val="1"/>
      <w:numFmt w:val="bullet"/>
      <w:lvlText w:val=""/>
      <w:lvlJc w:val="left"/>
      <w:pPr>
        <w:ind w:left="6840" w:hanging="360"/>
      </w:pPr>
      <w:rPr>
        <w:rFonts w:ascii="Wingdings" w:hAnsi="Wingdings" w:hint="default"/>
      </w:rPr>
    </w:lvl>
  </w:abstractNum>
  <w:abstractNum w:abstractNumId="10" w15:restartNumberingAfterBreak="0">
    <w:nsid w:val="3FFE3788"/>
    <w:multiLevelType w:val="hybridMultilevel"/>
    <w:tmpl w:val="0D00128E"/>
    <w:lvl w:ilvl="0" w:tplc="67B634D4">
      <w:start w:val="1"/>
      <w:numFmt w:val="lowerLetter"/>
      <w:lvlText w:val="%1)"/>
      <w:lvlJc w:val="left"/>
      <w:pPr>
        <w:ind w:left="1440" w:hanging="360"/>
      </w:pPr>
      <w:rPr>
        <w:rFonts w:ascii="Arial" w:hAnsi="Arial" w:cs="Arial" w:hint="default"/>
      </w:rPr>
    </w:lvl>
    <w:lvl w:ilvl="1" w:tplc="049C4C84" w:tentative="1">
      <w:start w:val="1"/>
      <w:numFmt w:val="lowerLetter"/>
      <w:lvlText w:val="%2."/>
      <w:lvlJc w:val="left"/>
      <w:pPr>
        <w:ind w:left="2160" w:hanging="360"/>
      </w:pPr>
    </w:lvl>
    <w:lvl w:ilvl="2" w:tplc="B38CB798" w:tentative="1">
      <w:start w:val="1"/>
      <w:numFmt w:val="lowerRoman"/>
      <w:lvlText w:val="%3."/>
      <w:lvlJc w:val="right"/>
      <w:pPr>
        <w:ind w:left="2880" w:hanging="180"/>
      </w:pPr>
    </w:lvl>
    <w:lvl w:ilvl="3" w:tplc="BE08F21E" w:tentative="1">
      <w:start w:val="1"/>
      <w:numFmt w:val="decimal"/>
      <w:lvlText w:val="%4."/>
      <w:lvlJc w:val="left"/>
      <w:pPr>
        <w:ind w:left="3600" w:hanging="360"/>
      </w:pPr>
    </w:lvl>
    <w:lvl w:ilvl="4" w:tplc="10B66B04" w:tentative="1">
      <w:start w:val="1"/>
      <w:numFmt w:val="lowerLetter"/>
      <w:lvlText w:val="%5."/>
      <w:lvlJc w:val="left"/>
      <w:pPr>
        <w:ind w:left="4320" w:hanging="360"/>
      </w:pPr>
    </w:lvl>
    <w:lvl w:ilvl="5" w:tplc="E3024B18" w:tentative="1">
      <w:start w:val="1"/>
      <w:numFmt w:val="lowerRoman"/>
      <w:lvlText w:val="%6."/>
      <w:lvlJc w:val="right"/>
      <w:pPr>
        <w:ind w:left="5040" w:hanging="180"/>
      </w:pPr>
    </w:lvl>
    <w:lvl w:ilvl="6" w:tplc="3A183270" w:tentative="1">
      <w:start w:val="1"/>
      <w:numFmt w:val="decimal"/>
      <w:lvlText w:val="%7."/>
      <w:lvlJc w:val="left"/>
      <w:pPr>
        <w:ind w:left="5760" w:hanging="360"/>
      </w:pPr>
    </w:lvl>
    <w:lvl w:ilvl="7" w:tplc="40AC8792" w:tentative="1">
      <w:start w:val="1"/>
      <w:numFmt w:val="lowerLetter"/>
      <w:lvlText w:val="%8."/>
      <w:lvlJc w:val="left"/>
      <w:pPr>
        <w:ind w:left="6480" w:hanging="360"/>
      </w:pPr>
    </w:lvl>
    <w:lvl w:ilvl="8" w:tplc="7354D1A2" w:tentative="1">
      <w:start w:val="1"/>
      <w:numFmt w:val="lowerRoman"/>
      <w:lvlText w:val="%9."/>
      <w:lvlJc w:val="right"/>
      <w:pPr>
        <w:ind w:left="7200" w:hanging="180"/>
      </w:pPr>
    </w:lvl>
  </w:abstractNum>
  <w:abstractNum w:abstractNumId="11" w15:restartNumberingAfterBreak="0">
    <w:nsid w:val="41841A7C"/>
    <w:multiLevelType w:val="hybridMultilevel"/>
    <w:tmpl w:val="9EC0D906"/>
    <w:lvl w:ilvl="0" w:tplc="46EC4F7C">
      <w:start w:val="1"/>
      <w:numFmt w:val="bullet"/>
      <w:lvlText w:val=""/>
      <w:lvlJc w:val="left"/>
      <w:pPr>
        <w:ind w:left="1080" w:hanging="360"/>
      </w:pPr>
      <w:rPr>
        <w:rFonts w:ascii="Wingdings" w:hAnsi="Wingdings" w:hint="default"/>
      </w:rPr>
    </w:lvl>
    <w:lvl w:ilvl="1" w:tplc="CDEC81E2" w:tentative="1">
      <w:start w:val="1"/>
      <w:numFmt w:val="bullet"/>
      <w:lvlText w:val="o"/>
      <w:lvlJc w:val="left"/>
      <w:pPr>
        <w:ind w:left="1800" w:hanging="360"/>
      </w:pPr>
      <w:rPr>
        <w:rFonts w:ascii="Courier New" w:hAnsi="Courier New" w:cs="Courier New" w:hint="default"/>
      </w:rPr>
    </w:lvl>
    <w:lvl w:ilvl="2" w:tplc="582024BE" w:tentative="1">
      <w:start w:val="1"/>
      <w:numFmt w:val="bullet"/>
      <w:lvlText w:val=""/>
      <w:lvlJc w:val="left"/>
      <w:pPr>
        <w:ind w:left="2520" w:hanging="360"/>
      </w:pPr>
      <w:rPr>
        <w:rFonts w:ascii="Wingdings" w:hAnsi="Wingdings" w:hint="default"/>
      </w:rPr>
    </w:lvl>
    <w:lvl w:ilvl="3" w:tplc="F3AC9552" w:tentative="1">
      <w:start w:val="1"/>
      <w:numFmt w:val="bullet"/>
      <w:lvlText w:val=""/>
      <w:lvlJc w:val="left"/>
      <w:pPr>
        <w:ind w:left="3240" w:hanging="360"/>
      </w:pPr>
      <w:rPr>
        <w:rFonts w:ascii="Symbol" w:hAnsi="Symbol" w:hint="default"/>
      </w:rPr>
    </w:lvl>
    <w:lvl w:ilvl="4" w:tplc="0F4E777A" w:tentative="1">
      <w:start w:val="1"/>
      <w:numFmt w:val="bullet"/>
      <w:lvlText w:val="o"/>
      <w:lvlJc w:val="left"/>
      <w:pPr>
        <w:ind w:left="3960" w:hanging="360"/>
      </w:pPr>
      <w:rPr>
        <w:rFonts w:ascii="Courier New" w:hAnsi="Courier New" w:cs="Courier New" w:hint="default"/>
      </w:rPr>
    </w:lvl>
    <w:lvl w:ilvl="5" w:tplc="01F0BC80" w:tentative="1">
      <w:start w:val="1"/>
      <w:numFmt w:val="bullet"/>
      <w:lvlText w:val=""/>
      <w:lvlJc w:val="left"/>
      <w:pPr>
        <w:ind w:left="4680" w:hanging="360"/>
      </w:pPr>
      <w:rPr>
        <w:rFonts w:ascii="Wingdings" w:hAnsi="Wingdings" w:hint="default"/>
      </w:rPr>
    </w:lvl>
    <w:lvl w:ilvl="6" w:tplc="00C0328C" w:tentative="1">
      <w:start w:val="1"/>
      <w:numFmt w:val="bullet"/>
      <w:lvlText w:val=""/>
      <w:lvlJc w:val="left"/>
      <w:pPr>
        <w:ind w:left="5400" w:hanging="360"/>
      </w:pPr>
      <w:rPr>
        <w:rFonts w:ascii="Symbol" w:hAnsi="Symbol" w:hint="default"/>
      </w:rPr>
    </w:lvl>
    <w:lvl w:ilvl="7" w:tplc="7CD0A026" w:tentative="1">
      <w:start w:val="1"/>
      <w:numFmt w:val="bullet"/>
      <w:lvlText w:val="o"/>
      <w:lvlJc w:val="left"/>
      <w:pPr>
        <w:ind w:left="6120" w:hanging="360"/>
      </w:pPr>
      <w:rPr>
        <w:rFonts w:ascii="Courier New" w:hAnsi="Courier New" w:cs="Courier New" w:hint="default"/>
      </w:rPr>
    </w:lvl>
    <w:lvl w:ilvl="8" w:tplc="4E86FAD4" w:tentative="1">
      <w:start w:val="1"/>
      <w:numFmt w:val="bullet"/>
      <w:lvlText w:val=""/>
      <w:lvlJc w:val="left"/>
      <w:pPr>
        <w:ind w:left="6840" w:hanging="360"/>
      </w:pPr>
      <w:rPr>
        <w:rFonts w:ascii="Wingdings" w:hAnsi="Wingdings" w:hint="default"/>
      </w:rPr>
    </w:lvl>
  </w:abstractNum>
  <w:abstractNum w:abstractNumId="12" w15:restartNumberingAfterBreak="0">
    <w:nsid w:val="49922D6C"/>
    <w:multiLevelType w:val="hybridMultilevel"/>
    <w:tmpl w:val="9D183F0C"/>
    <w:lvl w:ilvl="0" w:tplc="E48A36B4">
      <w:start w:val="1"/>
      <w:numFmt w:val="bullet"/>
      <w:lvlText w:val=""/>
      <w:lvlJc w:val="left"/>
      <w:pPr>
        <w:ind w:left="1800" w:hanging="360"/>
      </w:pPr>
      <w:rPr>
        <w:rFonts w:ascii="Symbol" w:hAnsi="Symbol" w:hint="default"/>
      </w:rPr>
    </w:lvl>
    <w:lvl w:ilvl="1" w:tplc="E0AA8470" w:tentative="1">
      <w:start w:val="1"/>
      <w:numFmt w:val="bullet"/>
      <w:lvlText w:val="o"/>
      <w:lvlJc w:val="left"/>
      <w:pPr>
        <w:ind w:left="2520" w:hanging="360"/>
      </w:pPr>
      <w:rPr>
        <w:rFonts w:ascii="Courier New" w:hAnsi="Courier New" w:cs="Courier New" w:hint="default"/>
      </w:rPr>
    </w:lvl>
    <w:lvl w:ilvl="2" w:tplc="247C3110" w:tentative="1">
      <w:start w:val="1"/>
      <w:numFmt w:val="bullet"/>
      <w:lvlText w:val=""/>
      <w:lvlJc w:val="left"/>
      <w:pPr>
        <w:ind w:left="3240" w:hanging="360"/>
      </w:pPr>
      <w:rPr>
        <w:rFonts w:ascii="Wingdings" w:hAnsi="Wingdings" w:hint="default"/>
      </w:rPr>
    </w:lvl>
    <w:lvl w:ilvl="3" w:tplc="9FAE54CE" w:tentative="1">
      <w:start w:val="1"/>
      <w:numFmt w:val="bullet"/>
      <w:lvlText w:val=""/>
      <w:lvlJc w:val="left"/>
      <w:pPr>
        <w:ind w:left="3960" w:hanging="360"/>
      </w:pPr>
      <w:rPr>
        <w:rFonts w:ascii="Symbol" w:hAnsi="Symbol" w:hint="default"/>
      </w:rPr>
    </w:lvl>
    <w:lvl w:ilvl="4" w:tplc="BFAA8E12" w:tentative="1">
      <w:start w:val="1"/>
      <w:numFmt w:val="bullet"/>
      <w:lvlText w:val="o"/>
      <w:lvlJc w:val="left"/>
      <w:pPr>
        <w:ind w:left="4680" w:hanging="360"/>
      </w:pPr>
      <w:rPr>
        <w:rFonts w:ascii="Courier New" w:hAnsi="Courier New" w:cs="Courier New" w:hint="default"/>
      </w:rPr>
    </w:lvl>
    <w:lvl w:ilvl="5" w:tplc="AB50A38A" w:tentative="1">
      <w:start w:val="1"/>
      <w:numFmt w:val="bullet"/>
      <w:lvlText w:val=""/>
      <w:lvlJc w:val="left"/>
      <w:pPr>
        <w:ind w:left="5400" w:hanging="360"/>
      </w:pPr>
      <w:rPr>
        <w:rFonts w:ascii="Wingdings" w:hAnsi="Wingdings" w:hint="default"/>
      </w:rPr>
    </w:lvl>
    <w:lvl w:ilvl="6" w:tplc="57EA3AC2" w:tentative="1">
      <w:start w:val="1"/>
      <w:numFmt w:val="bullet"/>
      <w:lvlText w:val=""/>
      <w:lvlJc w:val="left"/>
      <w:pPr>
        <w:ind w:left="6120" w:hanging="360"/>
      </w:pPr>
      <w:rPr>
        <w:rFonts w:ascii="Symbol" w:hAnsi="Symbol" w:hint="default"/>
      </w:rPr>
    </w:lvl>
    <w:lvl w:ilvl="7" w:tplc="98F2FC1E" w:tentative="1">
      <w:start w:val="1"/>
      <w:numFmt w:val="bullet"/>
      <w:lvlText w:val="o"/>
      <w:lvlJc w:val="left"/>
      <w:pPr>
        <w:ind w:left="6840" w:hanging="360"/>
      </w:pPr>
      <w:rPr>
        <w:rFonts w:ascii="Courier New" w:hAnsi="Courier New" w:cs="Courier New" w:hint="default"/>
      </w:rPr>
    </w:lvl>
    <w:lvl w:ilvl="8" w:tplc="937C83FA" w:tentative="1">
      <w:start w:val="1"/>
      <w:numFmt w:val="bullet"/>
      <w:lvlText w:val=""/>
      <w:lvlJc w:val="left"/>
      <w:pPr>
        <w:ind w:left="7560" w:hanging="360"/>
      </w:pPr>
      <w:rPr>
        <w:rFonts w:ascii="Wingdings" w:hAnsi="Wingdings" w:hint="default"/>
      </w:rPr>
    </w:lvl>
  </w:abstractNum>
  <w:abstractNum w:abstractNumId="13" w15:restartNumberingAfterBreak="0">
    <w:nsid w:val="5087062E"/>
    <w:multiLevelType w:val="hybridMultilevel"/>
    <w:tmpl w:val="76B22492"/>
    <w:lvl w:ilvl="0" w:tplc="00169586">
      <w:start w:val="1"/>
      <w:numFmt w:val="bullet"/>
      <w:lvlText w:val=""/>
      <w:lvlJc w:val="left"/>
      <w:pPr>
        <w:ind w:left="1080" w:hanging="360"/>
      </w:pPr>
      <w:rPr>
        <w:rFonts w:ascii="Wingdings" w:hAnsi="Wingdings" w:hint="default"/>
      </w:rPr>
    </w:lvl>
    <w:lvl w:ilvl="1" w:tplc="DD2C64B2" w:tentative="1">
      <w:start w:val="1"/>
      <w:numFmt w:val="bullet"/>
      <w:lvlText w:val="o"/>
      <w:lvlJc w:val="left"/>
      <w:pPr>
        <w:ind w:left="1800" w:hanging="360"/>
      </w:pPr>
      <w:rPr>
        <w:rFonts w:ascii="Courier New" w:hAnsi="Courier New" w:cs="Courier New" w:hint="default"/>
      </w:rPr>
    </w:lvl>
    <w:lvl w:ilvl="2" w:tplc="7F94F526" w:tentative="1">
      <w:start w:val="1"/>
      <w:numFmt w:val="bullet"/>
      <w:lvlText w:val=""/>
      <w:lvlJc w:val="left"/>
      <w:pPr>
        <w:ind w:left="2520" w:hanging="360"/>
      </w:pPr>
      <w:rPr>
        <w:rFonts w:ascii="Wingdings" w:hAnsi="Wingdings" w:hint="default"/>
      </w:rPr>
    </w:lvl>
    <w:lvl w:ilvl="3" w:tplc="77429904" w:tentative="1">
      <w:start w:val="1"/>
      <w:numFmt w:val="bullet"/>
      <w:lvlText w:val=""/>
      <w:lvlJc w:val="left"/>
      <w:pPr>
        <w:ind w:left="3240" w:hanging="360"/>
      </w:pPr>
      <w:rPr>
        <w:rFonts w:ascii="Symbol" w:hAnsi="Symbol" w:hint="default"/>
      </w:rPr>
    </w:lvl>
    <w:lvl w:ilvl="4" w:tplc="D5A47C46" w:tentative="1">
      <w:start w:val="1"/>
      <w:numFmt w:val="bullet"/>
      <w:lvlText w:val="o"/>
      <w:lvlJc w:val="left"/>
      <w:pPr>
        <w:ind w:left="3960" w:hanging="360"/>
      </w:pPr>
      <w:rPr>
        <w:rFonts w:ascii="Courier New" w:hAnsi="Courier New" w:cs="Courier New" w:hint="default"/>
      </w:rPr>
    </w:lvl>
    <w:lvl w:ilvl="5" w:tplc="0248F8E2" w:tentative="1">
      <w:start w:val="1"/>
      <w:numFmt w:val="bullet"/>
      <w:lvlText w:val=""/>
      <w:lvlJc w:val="left"/>
      <w:pPr>
        <w:ind w:left="4680" w:hanging="360"/>
      </w:pPr>
      <w:rPr>
        <w:rFonts w:ascii="Wingdings" w:hAnsi="Wingdings" w:hint="default"/>
      </w:rPr>
    </w:lvl>
    <w:lvl w:ilvl="6" w:tplc="B64ABBC4" w:tentative="1">
      <w:start w:val="1"/>
      <w:numFmt w:val="bullet"/>
      <w:lvlText w:val=""/>
      <w:lvlJc w:val="left"/>
      <w:pPr>
        <w:ind w:left="5400" w:hanging="360"/>
      </w:pPr>
      <w:rPr>
        <w:rFonts w:ascii="Symbol" w:hAnsi="Symbol" w:hint="default"/>
      </w:rPr>
    </w:lvl>
    <w:lvl w:ilvl="7" w:tplc="DA824D5A" w:tentative="1">
      <w:start w:val="1"/>
      <w:numFmt w:val="bullet"/>
      <w:lvlText w:val="o"/>
      <w:lvlJc w:val="left"/>
      <w:pPr>
        <w:ind w:left="6120" w:hanging="360"/>
      </w:pPr>
      <w:rPr>
        <w:rFonts w:ascii="Courier New" w:hAnsi="Courier New" w:cs="Courier New" w:hint="default"/>
      </w:rPr>
    </w:lvl>
    <w:lvl w:ilvl="8" w:tplc="E3106A2C" w:tentative="1">
      <w:start w:val="1"/>
      <w:numFmt w:val="bullet"/>
      <w:lvlText w:val=""/>
      <w:lvlJc w:val="left"/>
      <w:pPr>
        <w:ind w:left="6840" w:hanging="360"/>
      </w:pPr>
      <w:rPr>
        <w:rFonts w:ascii="Wingdings" w:hAnsi="Wingdings" w:hint="default"/>
      </w:rPr>
    </w:lvl>
  </w:abstractNum>
  <w:abstractNum w:abstractNumId="14" w15:restartNumberingAfterBreak="0">
    <w:nsid w:val="6A0041B7"/>
    <w:multiLevelType w:val="hybridMultilevel"/>
    <w:tmpl w:val="B29EFA86"/>
    <w:lvl w:ilvl="0" w:tplc="5B507934">
      <w:start w:val="1"/>
      <w:numFmt w:val="bullet"/>
      <w:lvlText w:val=""/>
      <w:lvlJc w:val="left"/>
      <w:pPr>
        <w:ind w:left="720" w:hanging="360"/>
      </w:pPr>
      <w:rPr>
        <w:rFonts w:ascii="Wingdings" w:hAnsi="Wingdings" w:hint="default"/>
      </w:rPr>
    </w:lvl>
    <w:lvl w:ilvl="1" w:tplc="32DA3042" w:tentative="1">
      <w:start w:val="1"/>
      <w:numFmt w:val="bullet"/>
      <w:lvlText w:val="o"/>
      <w:lvlJc w:val="left"/>
      <w:pPr>
        <w:ind w:left="1440" w:hanging="360"/>
      </w:pPr>
      <w:rPr>
        <w:rFonts w:ascii="Courier New" w:hAnsi="Courier New" w:cs="Courier New" w:hint="default"/>
      </w:rPr>
    </w:lvl>
    <w:lvl w:ilvl="2" w:tplc="9F6447DC" w:tentative="1">
      <w:start w:val="1"/>
      <w:numFmt w:val="bullet"/>
      <w:lvlText w:val=""/>
      <w:lvlJc w:val="left"/>
      <w:pPr>
        <w:ind w:left="2160" w:hanging="360"/>
      </w:pPr>
      <w:rPr>
        <w:rFonts w:ascii="Wingdings" w:hAnsi="Wingdings" w:hint="default"/>
      </w:rPr>
    </w:lvl>
    <w:lvl w:ilvl="3" w:tplc="453A0EF6" w:tentative="1">
      <w:start w:val="1"/>
      <w:numFmt w:val="bullet"/>
      <w:lvlText w:val=""/>
      <w:lvlJc w:val="left"/>
      <w:pPr>
        <w:ind w:left="2880" w:hanging="360"/>
      </w:pPr>
      <w:rPr>
        <w:rFonts w:ascii="Symbol" w:hAnsi="Symbol" w:hint="default"/>
      </w:rPr>
    </w:lvl>
    <w:lvl w:ilvl="4" w:tplc="3C0615B4" w:tentative="1">
      <w:start w:val="1"/>
      <w:numFmt w:val="bullet"/>
      <w:lvlText w:val="o"/>
      <w:lvlJc w:val="left"/>
      <w:pPr>
        <w:ind w:left="3600" w:hanging="360"/>
      </w:pPr>
      <w:rPr>
        <w:rFonts w:ascii="Courier New" w:hAnsi="Courier New" w:cs="Courier New" w:hint="default"/>
      </w:rPr>
    </w:lvl>
    <w:lvl w:ilvl="5" w:tplc="FEAE034E" w:tentative="1">
      <w:start w:val="1"/>
      <w:numFmt w:val="bullet"/>
      <w:lvlText w:val=""/>
      <w:lvlJc w:val="left"/>
      <w:pPr>
        <w:ind w:left="4320" w:hanging="360"/>
      </w:pPr>
      <w:rPr>
        <w:rFonts w:ascii="Wingdings" w:hAnsi="Wingdings" w:hint="default"/>
      </w:rPr>
    </w:lvl>
    <w:lvl w:ilvl="6" w:tplc="43F45B16" w:tentative="1">
      <w:start w:val="1"/>
      <w:numFmt w:val="bullet"/>
      <w:lvlText w:val=""/>
      <w:lvlJc w:val="left"/>
      <w:pPr>
        <w:ind w:left="5040" w:hanging="360"/>
      </w:pPr>
      <w:rPr>
        <w:rFonts w:ascii="Symbol" w:hAnsi="Symbol" w:hint="default"/>
      </w:rPr>
    </w:lvl>
    <w:lvl w:ilvl="7" w:tplc="D610DD8E" w:tentative="1">
      <w:start w:val="1"/>
      <w:numFmt w:val="bullet"/>
      <w:lvlText w:val="o"/>
      <w:lvlJc w:val="left"/>
      <w:pPr>
        <w:ind w:left="5760" w:hanging="360"/>
      </w:pPr>
      <w:rPr>
        <w:rFonts w:ascii="Courier New" w:hAnsi="Courier New" w:cs="Courier New" w:hint="default"/>
      </w:rPr>
    </w:lvl>
    <w:lvl w:ilvl="8" w:tplc="1D2C83E0" w:tentative="1">
      <w:start w:val="1"/>
      <w:numFmt w:val="bullet"/>
      <w:lvlText w:val=""/>
      <w:lvlJc w:val="left"/>
      <w:pPr>
        <w:ind w:left="6480" w:hanging="360"/>
      </w:pPr>
      <w:rPr>
        <w:rFonts w:ascii="Wingdings" w:hAnsi="Wingdings" w:hint="default"/>
      </w:rPr>
    </w:lvl>
  </w:abstractNum>
  <w:abstractNum w:abstractNumId="15" w15:restartNumberingAfterBreak="0">
    <w:nsid w:val="78744AD7"/>
    <w:multiLevelType w:val="hybridMultilevel"/>
    <w:tmpl w:val="0546BB48"/>
    <w:lvl w:ilvl="0" w:tplc="5DC4BC72">
      <w:numFmt w:val="bullet"/>
      <w:lvlText w:val="-"/>
      <w:lvlJc w:val="left"/>
      <w:pPr>
        <w:ind w:left="720" w:hanging="360"/>
      </w:pPr>
      <w:rPr>
        <w:rFonts w:ascii="Calibri" w:eastAsiaTheme="minorHAnsi" w:hAnsi="Calibri" w:cs="Calibri" w:hint="default"/>
      </w:rPr>
    </w:lvl>
    <w:lvl w:ilvl="1" w:tplc="0E0C618E" w:tentative="1">
      <w:start w:val="1"/>
      <w:numFmt w:val="bullet"/>
      <w:lvlText w:val="o"/>
      <w:lvlJc w:val="left"/>
      <w:pPr>
        <w:ind w:left="1440" w:hanging="360"/>
      </w:pPr>
      <w:rPr>
        <w:rFonts w:ascii="Courier New" w:hAnsi="Courier New" w:cs="Courier New" w:hint="default"/>
      </w:rPr>
    </w:lvl>
    <w:lvl w:ilvl="2" w:tplc="0AACBD60" w:tentative="1">
      <w:start w:val="1"/>
      <w:numFmt w:val="bullet"/>
      <w:lvlText w:val=""/>
      <w:lvlJc w:val="left"/>
      <w:pPr>
        <w:ind w:left="2160" w:hanging="360"/>
      </w:pPr>
      <w:rPr>
        <w:rFonts w:ascii="Wingdings" w:hAnsi="Wingdings" w:hint="default"/>
      </w:rPr>
    </w:lvl>
    <w:lvl w:ilvl="3" w:tplc="7FBE117A" w:tentative="1">
      <w:start w:val="1"/>
      <w:numFmt w:val="bullet"/>
      <w:lvlText w:val=""/>
      <w:lvlJc w:val="left"/>
      <w:pPr>
        <w:ind w:left="2880" w:hanging="360"/>
      </w:pPr>
      <w:rPr>
        <w:rFonts w:ascii="Symbol" w:hAnsi="Symbol" w:hint="default"/>
      </w:rPr>
    </w:lvl>
    <w:lvl w:ilvl="4" w:tplc="EC24CEEC" w:tentative="1">
      <w:start w:val="1"/>
      <w:numFmt w:val="bullet"/>
      <w:lvlText w:val="o"/>
      <w:lvlJc w:val="left"/>
      <w:pPr>
        <w:ind w:left="3600" w:hanging="360"/>
      </w:pPr>
      <w:rPr>
        <w:rFonts w:ascii="Courier New" w:hAnsi="Courier New" w:cs="Courier New" w:hint="default"/>
      </w:rPr>
    </w:lvl>
    <w:lvl w:ilvl="5" w:tplc="AECC4984" w:tentative="1">
      <w:start w:val="1"/>
      <w:numFmt w:val="bullet"/>
      <w:lvlText w:val=""/>
      <w:lvlJc w:val="left"/>
      <w:pPr>
        <w:ind w:left="4320" w:hanging="360"/>
      </w:pPr>
      <w:rPr>
        <w:rFonts w:ascii="Wingdings" w:hAnsi="Wingdings" w:hint="default"/>
      </w:rPr>
    </w:lvl>
    <w:lvl w:ilvl="6" w:tplc="9AB001D0" w:tentative="1">
      <w:start w:val="1"/>
      <w:numFmt w:val="bullet"/>
      <w:lvlText w:val=""/>
      <w:lvlJc w:val="left"/>
      <w:pPr>
        <w:ind w:left="5040" w:hanging="360"/>
      </w:pPr>
      <w:rPr>
        <w:rFonts w:ascii="Symbol" w:hAnsi="Symbol" w:hint="default"/>
      </w:rPr>
    </w:lvl>
    <w:lvl w:ilvl="7" w:tplc="D0E44FF6" w:tentative="1">
      <w:start w:val="1"/>
      <w:numFmt w:val="bullet"/>
      <w:lvlText w:val="o"/>
      <w:lvlJc w:val="left"/>
      <w:pPr>
        <w:ind w:left="5760" w:hanging="360"/>
      </w:pPr>
      <w:rPr>
        <w:rFonts w:ascii="Courier New" w:hAnsi="Courier New" w:cs="Courier New" w:hint="default"/>
      </w:rPr>
    </w:lvl>
    <w:lvl w:ilvl="8" w:tplc="117E8526" w:tentative="1">
      <w:start w:val="1"/>
      <w:numFmt w:val="bullet"/>
      <w:lvlText w:val=""/>
      <w:lvlJc w:val="left"/>
      <w:pPr>
        <w:ind w:left="6480" w:hanging="360"/>
      </w:pPr>
      <w:rPr>
        <w:rFonts w:ascii="Wingdings" w:hAnsi="Wingdings" w:hint="default"/>
      </w:rPr>
    </w:lvl>
  </w:abstractNum>
  <w:abstractNum w:abstractNumId="16" w15:restartNumberingAfterBreak="0">
    <w:nsid w:val="798117E8"/>
    <w:multiLevelType w:val="hybridMultilevel"/>
    <w:tmpl w:val="C3343450"/>
    <w:lvl w:ilvl="0" w:tplc="D2547B76">
      <w:start w:val="1"/>
      <w:numFmt w:val="bullet"/>
      <w:lvlText w:val=""/>
      <w:lvlJc w:val="left"/>
      <w:pPr>
        <w:ind w:left="1080" w:hanging="360"/>
      </w:pPr>
      <w:rPr>
        <w:rFonts w:ascii="Wingdings" w:hAnsi="Wingdings" w:hint="default"/>
      </w:rPr>
    </w:lvl>
    <w:lvl w:ilvl="1" w:tplc="D9E00752" w:tentative="1">
      <w:start w:val="1"/>
      <w:numFmt w:val="bullet"/>
      <w:lvlText w:val="o"/>
      <w:lvlJc w:val="left"/>
      <w:pPr>
        <w:ind w:left="1800" w:hanging="360"/>
      </w:pPr>
      <w:rPr>
        <w:rFonts w:ascii="Courier New" w:hAnsi="Courier New" w:cs="Courier New" w:hint="default"/>
      </w:rPr>
    </w:lvl>
    <w:lvl w:ilvl="2" w:tplc="14BAA102" w:tentative="1">
      <w:start w:val="1"/>
      <w:numFmt w:val="bullet"/>
      <w:lvlText w:val=""/>
      <w:lvlJc w:val="left"/>
      <w:pPr>
        <w:ind w:left="2520" w:hanging="360"/>
      </w:pPr>
      <w:rPr>
        <w:rFonts w:ascii="Wingdings" w:hAnsi="Wingdings" w:hint="default"/>
      </w:rPr>
    </w:lvl>
    <w:lvl w:ilvl="3" w:tplc="37D4291E" w:tentative="1">
      <w:start w:val="1"/>
      <w:numFmt w:val="bullet"/>
      <w:lvlText w:val=""/>
      <w:lvlJc w:val="left"/>
      <w:pPr>
        <w:ind w:left="3240" w:hanging="360"/>
      </w:pPr>
      <w:rPr>
        <w:rFonts w:ascii="Symbol" w:hAnsi="Symbol" w:hint="default"/>
      </w:rPr>
    </w:lvl>
    <w:lvl w:ilvl="4" w:tplc="E918F340" w:tentative="1">
      <w:start w:val="1"/>
      <w:numFmt w:val="bullet"/>
      <w:lvlText w:val="o"/>
      <w:lvlJc w:val="left"/>
      <w:pPr>
        <w:ind w:left="3960" w:hanging="360"/>
      </w:pPr>
      <w:rPr>
        <w:rFonts w:ascii="Courier New" w:hAnsi="Courier New" w:cs="Courier New" w:hint="default"/>
      </w:rPr>
    </w:lvl>
    <w:lvl w:ilvl="5" w:tplc="6292FF48" w:tentative="1">
      <w:start w:val="1"/>
      <w:numFmt w:val="bullet"/>
      <w:lvlText w:val=""/>
      <w:lvlJc w:val="left"/>
      <w:pPr>
        <w:ind w:left="4680" w:hanging="360"/>
      </w:pPr>
      <w:rPr>
        <w:rFonts w:ascii="Wingdings" w:hAnsi="Wingdings" w:hint="default"/>
      </w:rPr>
    </w:lvl>
    <w:lvl w:ilvl="6" w:tplc="FE8E4290" w:tentative="1">
      <w:start w:val="1"/>
      <w:numFmt w:val="bullet"/>
      <w:lvlText w:val=""/>
      <w:lvlJc w:val="left"/>
      <w:pPr>
        <w:ind w:left="5400" w:hanging="360"/>
      </w:pPr>
      <w:rPr>
        <w:rFonts w:ascii="Symbol" w:hAnsi="Symbol" w:hint="default"/>
      </w:rPr>
    </w:lvl>
    <w:lvl w:ilvl="7" w:tplc="09B01F62" w:tentative="1">
      <w:start w:val="1"/>
      <w:numFmt w:val="bullet"/>
      <w:lvlText w:val="o"/>
      <w:lvlJc w:val="left"/>
      <w:pPr>
        <w:ind w:left="6120" w:hanging="360"/>
      </w:pPr>
      <w:rPr>
        <w:rFonts w:ascii="Courier New" w:hAnsi="Courier New" w:cs="Courier New" w:hint="default"/>
      </w:rPr>
    </w:lvl>
    <w:lvl w:ilvl="8" w:tplc="3620C0A0" w:tentative="1">
      <w:start w:val="1"/>
      <w:numFmt w:val="bullet"/>
      <w:lvlText w:val=""/>
      <w:lvlJc w:val="left"/>
      <w:pPr>
        <w:ind w:left="6840" w:hanging="360"/>
      </w:pPr>
      <w:rPr>
        <w:rFonts w:ascii="Wingdings" w:hAnsi="Wingdings" w:hint="default"/>
      </w:rPr>
    </w:lvl>
  </w:abstractNum>
  <w:abstractNum w:abstractNumId="17" w15:restartNumberingAfterBreak="0">
    <w:nsid w:val="7BFE04DF"/>
    <w:multiLevelType w:val="hybridMultilevel"/>
    <w:tmpl w:val="21A88A2A"/>
    <w:lvl w:ilvl="0" w:tplc="2EDAC268">
      <w:start w:val="1"/>
      <w:numFmt w:val="bullet"/>
      <w:lvlText w:val=""/>
      <w:lvlJc w:val="left"/>
      <w:pPr>
        <w:ind w:left="1080" w:hanging="360"/>
      </w:pPr>
      <w:rPr>
        <w:rFonts w:ascii="Wingdings" w:hAnsi="Wingdings" w:hint="default"/>
      </w:rPr>
    </w:lvl>
    <w:lvl w:ilvl="1" w:tplc="94E6CB44" w:tentative="1">
      <w:start w:val="1"/>
      <w:numFmt w:val="bullet"/>
      <w:lvlText w:val="o"/>
      <w:lvlJc w:val="left"/>
      <w:pPr>
        <w:ind w:left="1800" w:hanging="360"/>
      </w:pPr>
      <w:rPr>
        <w:rFonts w:ascii="Courier New" w:hAnsi="Courier New" w:cs="Courier New" w:hint="default"/>
      </w:rPr>
    </w:lvl>
    <w:lvl w:ilvl="2" w:tplc="8FB23104" w:tentative="1">
      <w:start w:val="1"/>
      <w:numFmt w:val="bullet"/>
      <w:lvlText w:val=""/>
      <w:lvlJc w:val="left"/>
      <w:pPr>
        <w:ind w:left="2520" w:hanging="360"/>
      </w:pPr>
      <w:rPr>
        <w:rFonts w:ascii="Wingdings" w:hAnsi="Wingdings" w:hint="default"/>
      </w:rPr>
    </w:lvl>
    <w:lvl w:ilvl="3" w:tplc="CFEAFD10" w:tentative="1">
      <w:start w:val="1"/>
      <w:numFmt w:val="bullet"/>
      <w:lvlText w:val=""/>
      <w:lvlJc w:val="left"/>
      <w:pPr>
        <w:ind w:left="3240" w:hanging="360"/>
      </w:pPr>
      <w:rPr>
        <w:rFonts w:ascii="Symbol" w:hAnsi="Symbol" w:hint="default"/>
      </w:rPr>
    </w:lvl>
    <w:lvl w:ilvl="4" w:tplc="1C542E2E" w:tentative="1">
      <w:start w:val="1"/>
      <w:numFmt w:val="bullet"/>
      <w:lvlText w:val="o"/>
      <w:lvlJc w:val="left"/>
      <w:pPr>
        <w:ind w:left="3960" w:hanging="360"/>
      </w:pPr>
      <w:rPr>
        <w:rFonts w:ascii="Courier New" w:hAnsi="Courier New" w:cs="Courier New" w:hint="default"/>
      </w:rPr>
    </w:lvl>
    <w:lvl w:ilvl="5" w:tplc="02246E70" w:tentative="1">
      <w:start w:val="1"/>
      <w:numFmt w:val="bullet"/>
      <w:lvlText w:val=""/>
      <w:lvlJc w:val="left"/>
      <w:pPr>
        <w:ind w:left="4680" w:hanging="360"/>
      </w:pPr>
      <w:rPr>
        <w:rFonts w:ascii="Wingdings" w:hAnsi="Wingdings" w:hint="default"/>
      </w:rPr>
    </w:lvl>
    <w:lvl w:ilvl="6" w:tplc="405EC74C" w:tentative="1">
      <w:start w:val="1"/>
      <w:numFmt w:val="bullet"/>
      <w:lvlText w:val=""/>
      <w:lvlJc w:val="left"/>
      <w:pPr>
        <w:ind w:left="5400" w:hanging="360"/>
      </w:pPr>
      <w:rPr>
        <w:rFonts w:ascii="Symbol" w:hAnsi="Symbol" w:hint="default"/>
      </w:rPr>
    </w:lvl>
    <w:lvl w:ilvl="7" w:tplc="6540E00E" w:tentative="1">
      <w:start w:val="1"/>
      <w:numFmt w:val="bullet"/>
      <w:lvlText w:val="o"/>
      <w:lvlJc w:val="left"/>
      <w:pPr>
        <w:ind w:left="6120" w:hanging="360"/>
      </w:pPr>
      <w:rPr>
        <w:rFonts w:ascii="Courier New" w:hAnsi="Courier New" w:cs="Courier New" w:hint="default"/>
      </w:rPr>
    </w:lvl>
    <w:lvl w:ilvl="8" w:tplc="17D46FEE" w:tentative="1">
      <w:start w:val="1"/>
      <w:numFmt w:val="bullet"/>
      <w:lvlText w:val=""/>
      <w:lvlJc w:val="left"/>
      <w:pPr>
        <w:ind w:left="6840" w:hanging="360"/>
      </w:pPr>
      <w:rPr>
        <w:rFonts w:ascii="Wingdings" w:hAnsi="Wingdings" w:hint="default"/>
      </w:rPr>
    </w:lvl>
  </w:abstractNum>
  <w:abstractNum w:abstractNumId="18" w15:restartNumberingAfterBreak="0">
    <w:nsid w:val="7F1B0928"/>
    <w:multiLevelType w:val="hybridMultilevel"/>
    <w:tmpl w:val="DF82FC42"/>
    <w:lvl w:ilvl="0" w:tplc="135C2E72">
      <w:start w:val="1"/>
      <w:numFmt w:val="bullet"/>
      <w:lvlText w:val=""/>
      <w:lvlJc w:val="left"/>
      <w:pPr>
        <w:ind w:left="1080" w:hanging="360"/>
      </w:pPr>
      <w:rPr>
        <w:rFonts w:ascii="Symbol" w:hAnsi="Symbol" w:hint="default"/>
      </w:rPr>
    </w:lvl>
    <w:lvl w:ilvl="1" w:tplc="2C72782A" w:tentative="1">
      <w:start w:val="1"/>
      <w:numFmt w:val="bullet"/>
      <w:lvlText w:val="o"/>
      <w:lvlJc w:val="left"/>
      <w:pPr>
        <w:ind w:left="1800" w:hanging="360"/>
      </w:pPr>
      <w:rPr>
        <w:rFonts w:ascii="Courier New" w:hAnsi="Courier New" w:cs="Courier New" w:hint="default"/>
      </w:rPr>
    </w:lvl>
    <w:lvl w:ilvl="2" w:tplc="7D06C654" w:tentative="1">
      <w:start w:val="1"/>
      <w:numFmt w:val="bullet"/>
      <w:lvlText w:val=""/>
      <w:lvlJc w:val="left"/>
      <w:pPr>
        <w:ind w:left="2520" w:hanging="360"/>
      </w:pPr>
      <w:rPr>
        <w:rFonts w:ascii="Wingdings" w:hAnsi="Wingdings" w:hint="default"/>
      </w:rPr>
    </w:lvl>
    <w:lvl w:ilvl="3" w:tplc="2DDEF124" w:tentative="1">
      <w:start w:val="1"/>
      <w:numFmt w:val="bullet"/>
      <w:lvlText w:val=""/>
      <w:lvlJc w:val="left"/>
      <w:pPr>
        <w:ind w:left="3240" w:hanging="360"/>
      </w:pPr>
      <w:rPr>
        <w:rFonts w:ascii="Symbol" w:hAnsi="Symbol" w:hint="default"/>
      </w:rPr>
    </w:lvl>
    <w:lvl w:ilvl="4" w:tplc="AA1C89D4" w:tentative="1">
      <w:start w:val="1"/>
      <w:numFmt w:val="bullet"/>
      <w:lvlText w:val="o"/>
      <w:lvlJc w:val="left"/>
      <w:pPr>
        <w:ind w:left="3960" w:hanging="360"/>
      </w:pPr>
      <w:rPr>
        <w:rFonts w:ascii="Courier New" w:hAnsi="Courier New" w:cs="Courier New" w:hint="default"/>
      </w:rPr>
    </w:lvl>
    <w:lvl w:ilvl="5" w:tplc="FE44FE94" w:tentative="1">
      <w:start w:val="1"/>
      <w:numFmt w:val="bullet"/>
      <w:lvlText w:val=""/>
      <w:lvlJc w:val="left"/>
      <w:pPr>
        <w:ind w:left="4680" w:hanging="360"/>
      </w:pPr>
      <w:rPr>
        <w:rFonts w:ascii="Wingdings" w:hAnsi="Wingdings" w:hint="default"/>
      </w:rPr>
    </w:lvl>
    <w:lvl w:ilvl="6" w:tplc="25082E5A" w:tentative="1">
      <w:start w:val="1"/>
      <w:numFmt w:val="bullet"/>
      <w:lvlText w:val=""/>
      <w:lvlJc w:val="left"/>
      <w:pPr>
        <w:ind w:left="5400" w:hanging="360"/>
      </w:pPr>
      <w:rPr>
        <w:rFonts w:ascii="Symbol" w:hAnsi="Symbol" w:hint="default"/>
      </w:rPr>
    </w:lvl>
    <w:lvl w:ilvl="7" w:tplc="C0FC08F0" w:tentative="1">
      <w:start w:val="1"/>
      <w:numFmt w:val="bullet"/>
      <w:lvlText w:val="o"/>
      <w:lvlJc w:val="left"/>
      <w:pPr>
        <w:ind w:left="6120" w:hanging="360"/>
      </w:pPr>
      <w:rPr>
        <w:rFonts w:ascii="Courier New" w:hAnsi="Courier New" w:cs="Courier New" w:hint="default"/>
      </w:rPr>
    </w:lvl>
    <w:lvl w:ilvl="8" w:tplc="489E24F2"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7"/>
  </w:num>
  <w:num w:numId="4">
    <w:abstractNumId w:val="14"/>
  </w:num>
  <w:num w:numId="5">
    <w:abstractNumId w:val="4"/>
  </w:num>
  <w:num w:numId="6">
    <w:abstractNumId w:val="16"/>
  </w:num>
  <w:num w:numId="7">
    <w:abstractNumId w:val="5"/>
  </w:num>
  <w:num w:numId="8">
    <w:abstractNumId w:val="11"/>
  </w:num>
  <w:num w:numId="9">
    <w:abstractNumId w:val="13"/>
  </w:num>
  <w:num w:numId="10">
    <w:abstractNumId w:val="6"/>
  </w:num>
  <w:num w:numId="11">
    <w:abstractNumId w:val="2"/>
  </w:num>
  <w:num w:numId="12">
    <w:abstractNumId w:val="6"/>
  </w:num>
  <w:num w:numId="13">
    <w:abstractNumId w:val="11"/>
  </w:num>
  <w:num w:numId="14">
    <w:abstractNumId w:val="13"/>
  </w:num>
  <w:num w:numId="15">
    <w:abstractNumId w:val="17"/>
  </w:num>
  <w:num w:numId="16">
    <w:abstractNumId w:val="4"/>
  </w:num>
  <w:num w:numId="17">
    <w:abstractNumId w:val="16"/>
  </w:num>
  <w:num w:numId="18">
    <w:abstractNumId w:val="1"/>
  </w:num>
  <w:num w:numId="19">
    <w:abstractNumId w:val="9"/>
  </w:num>
  <w:num w:numId="20">
    <w:abstractNumId w:val="7"/>
  </w:num>
  <w:num w:numId="21">
    <w:abstractNumId w:val="8"/>
  </w:num>
  <w:num w:numId="22">
    <w:abstractNumId w:val="10"/>
  </w:num>
  <w:num w:numId="23">
    <w:abstractNumId w:val="3"/>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74"/>
    <w:rsid w:val="00151D60"/>
    <w:rsid w:val="00425003"/>
    <w:rsid w:val="0059456D"/>
    <w:rsid w:val="0095082E"/>
    <w:rsid w:val="00A17E96"/>
    <w:rsid w:val="00CC095E"/>
    <w:rsid w:val="00EA4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A4C3"/>
  <w15:docId w15:val="{C635300D-7CCF-4FE8-AFC0-BF020D63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C8"/>
    <w:pPr>
      <w:ind w:left="720"/>
      <w:contextualSpacing/>
    </w:pPr>
  </w:style>
  <w:style w:type="table" w:styleId="TableGrid">
    <w:name w:val="Table Grid"/>
    <w:basedOn w:val="TableNormal"/>
    <w:uiPriority w:val="39"/>
    <w:rsid w:val="001C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AA"/>
    <w:rPr>
      <w:rFonts w:ascii="Segoe UI" w:hAnsi="Segoe UI" w:cs="Segoe UI"/>
      <w:sz w:val="18"/>
      <w:szCs w:val="18"/>
    </w:rPr>
  </w:style>
  <w:style w:type="character" w:styleId="CommentReference">
    <w:name w:val="annotation reference"/>
    <w:basedOn w:val="DefaultParagraphFont"/>
    <w:uiPriority w:val="99"/>
    <w:semiHidden/>
    <w:unhideWhenUsed/>
    <w:rsid w:val="002E6CAA"/>
    <w:rPr>
      <w:sz w:val="16"/>
      <w:szCs w:val="16"/>
    </w:rPr>
  </w:style>
  <w:style w:type="paragraph" w:styleId="CommentText">
    <w:name w:val="annotation text"/>
    <w:basedOn w:val="Normal"/>
    <w:link w:val="CommentTextChar"/>
    <w:uiPriority w:val="99"/>
    <w:semiHidden/>
    <w:unhideWhenUsed/>
    <w:rsid w:val="002E6CAA"/>
    <w:pPr>
      <w:spacing w:line="240" w:lineRule="auto"/>
    </w:pPr>
    <w:rPr>
      <w:sz w:val="20"/>
      <w:szCs w:val="20"/>
    </w:rPr>
  </w:style>
  <w:style w:type="character" w:customStyle="1" w:styleId="CommentTextChar">
    <w:name w:val="Comment Text Char"/>
    <w:basedOn w:val="DefaultParagraphFont"/>
    <w:link w:val="CommentText"/>
    <w:uiPriority w:val="99"/>
    <w:semiHidden/>
    <w:rsid w:val="002E6CAA"/>
    <w:rPr>
      <w:sz w:val="20"/>
      <w:szCs w:val="20"/>
    </w:rPr>
  </w:style>
  <w:style w:type="character" w:customStyle="1" w:styleId="normaltextrun">
    <w:name w:val="normaltextrun"/>
    <w:basedOn w:val="DefaultParagraphFont"/>
    <w:rsid w:val="00283580"/>
  </w:style>
  <w:style w:type="character" w:customStyle="1" w:styleId="eop">
    <w:name w:val="eop"/>
    <w:basedOn w:val="DefaultParagraphFont"/>
    <w:rsid w:val="00283580"/>
  </w:style>
  <w:style w:type="paragraph" w:styleId="CommentSubject">
    <w:name w:val="annotation subject"/>
    <w:basedOn w:val="CommentText"/>
    <w:next w:val="CommentText"/>
    <w:link w:val="CommentSubjectChar"/>
    <w:uiPriority w:val="99"/>
    <w:semiHidden/>
    <w:unhideWhenUsed/>
    <w:rsid w:val="009148EE"/>
    <w:rPr>
      <w:b/>
      <w:bCs/>
    </w:rPr>
  </w:style>
  <w:style w:type="character" w:customStyle="1" w:styleId="CommentSubjectChar">
    <w:name w:val="Comment Subject Char"/>
    <w:basedOn w:val="CommentTextChar"/>
    <w:link w:val="CommentSubject"/>
    <w:uiPriority w:val="99"/>
    <w:semiHidden/>
    <w:rsid w:val="009148EE"/>
    <w:rPr>
      <w:b/>
      <w:bCs/>
      <w:sz w:val="20"/>
      <w:szCs w:val="20"/>
    </w:rPr>
  </w:style>
  <w:style w:type="paragraph" w:customStyle="1" w:styleId="paragraph">
    <w:name w:val="paragraph"/>
    <w:basedOn w:val="Normal"/>
    <w:rsid w:val="009148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Winstanley</dc:creator>
  <cp:lastModifiedBy>Caroline Winstanley</cp:lastModifiedBy>
  <cp:revision>25</cp:revision>
  <dcterms:created xsi:type="dcterms:W3CDTF">2021-11-23T16:15:00Z</dcterms:created>
  <dcterms:modified xsi:type="dcterms:W3CDTF">2021-11-26T13:13:00Z</dcterms:modified>
</cp:coreProperties>
</file>